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AC" w:rsidRPr="00FB7C4A" w:rsidRDefault="00FB7C4A" w:rsidP="00FB7C4A">
      <w:pPr>
        <w:jc w:val="center"/>
        <w:rPr>
          <w:rFonts w:ascii="Arial" w:hAnsi="Arial" w:cs="Arial"/>
          <w:b/>
        </w:rPr>
      </w:pPr>
      <w:r w:rsidRPr="00FB7C4A">
        <w:rPr>
          <w:rFonts w:ascii="Arial" w:hAnsi="Arial" w:cs="Arial"/>
          <w:b/>
          <w:sz w:val="28"/>
        </w:rPr>
        <w:t>APPENDIX B – CONSULTATION RESPONSES</w:t>
      </w:r>
    </w:p>
    <w:p w:rsidR="00FB7C4A" w:rsidRDefault="00FB7C4A">
      <w:pPr>
        <w:rPr>
          <w:rFonts w:ascii="Arial" w:hAnsi="Arial" w:cs="Arial"/>
        </w:rPr>
      </w:pPr>
    </w:p>
    <w:p w:rsidR="00FB7C4A" w:rsidRDefault="00FB7C4A">
      <w:pPr>
        <w:rPr>
          <w:rFonts w:ascii="Arial" w:hAnsi="Arial" w:cs="Arial"/>
          <w:b/>
        </w:rPr>
      </w:pPr>
      <w:r w:rsidRPr="00FB7C4A">
        <w:rPr>
          <w:rFonts w:ascii="Arial" w:hAnsi="Arial" w:cs="Arial"/>
          <w:b/>
        </w:rPr>
        <w:t xml:space="preserve">SECTION 1 </w:t>
      </w:r>
      <w:r w:rsidR="00C01202">
        <w:rPr>
          <w:rFonts w:ascii="Arial" w:hAnsi="Arial" w:cs="Arial"/>
          <w:b/>
        </w:rPr>
        <w:t>–</w:t>
      </w:r>
      <w:r w:rsidRPr="00FB7C4A">
        <w:rPr>
          <w:rFonts w:ascii="Arial" w:hAnsi="Arial" w:cs="Arial"/>
          <w:b/>
        </w:rPr>
        <w:t xml:space="preserve"> CONSULTEES</w:t>
      </w:r>
    </w:p>
    <w:p w:rsidR="00C01202" w:rsidRPr="00FB7C4A" w:rsidRDefault="00C01202">
      <w:pPr>
        <w:rPr>
          <w:rFonts w:ascii="Arial" w:hAnsi="Arial" w:cs="Arial"/>
          <w:b/>
        </w:rPr>
      </w:pPr>
    </w:p>
    <w:tbl>
      <w:tblPr>
        <w:tblStyle w:val="TableGrid"/>
        <w:tblW w:w="9640" w:type="dxa"/>
        <w:tblInd w:w="-318" w:type="dxa"/>
        <w:tblLook w:val="04A0" w:firstRow="1" w:lastRow="0" w:firstColumn="1" w:lastColumn="0" w:noHBand="0" w:noVBand="1"/>
      </w:tblPr>
      <w:tblGrid>
        <w:gridCol w:w="9640"/>
      </w:tblGrid>
      <w:tr w:rsidR="00C01202" w:rsidRPr="00A15F13" w:rsidTr="00C01202">
        <w:tc>
          <w:tcPr>
            <w:tcW w:w="9640" w:type="dxa"/>
          </w:tcPr>
          <w:p w:rsidR="00C01202" w:rsidRPr="00A15F13" w:rsidRDefault="00C01202" w:rsidP="00C93A0E">
            <w:r w:rsidRPr="00A15F13">
              <w:t>Director of Public Health for Harrow</w:t>
            </w:r>
          </w:p>
        </w:tc>
      </w:tr>
      <w:tr w:rsidR="00C01202" w:rsidRPr="00A15F13" w:rsidTr="00C01202">
        <w:trPr>
          <w:trHeight w:val="352"/>
        </w:trPr>
        <w:tc>
          <w:tcPr>
            <w:tcW w:w="9640" w:type="dxa"/>
          </w:tcPr>
          <w:p w:rsidR="00C01202" w:rsidRPr="00A15F13" w:rsidRDefault="00C01202" w:rsidP="00C93A0E">
            <w:pPr>
              <w:tabs>
                <w:tab w:val="left" w:pos="1560"/>
              </w:tabs>
              <w:spacing w:line="252" w:lineRule="exact"/>
            </w:pPr>
            <w:r w:rsidRPr="00A15F13">
              <w:rPr>
                <w:rFonts w:eastAsia="Times New Roman"/>
              </w:rPr>
              <w:t>Association of British Bookmakers</w:t>
            </w:r>
          </w:p>
        </w:tc>
      </w:tr>
      <w:tr w:rsidR="00C01202" w:rsidRPr="00A15F13" w:rsidTr="00C01202">
        <w:tc>
          <w:tcPr>
            <w:tcW w:w="9640" w:type="dxa"/>
          </w:tcPr>
          <w:p w:rsidR="00C01202" w:rsidRPr="00A15F13" w:rsidRDefault="00C01202" w:rsidP="00C93A0E">
            <w:pPr>
              <w:tabs>
                <w:tab w:val="left" w:pos="1560"/>
              </w:tabs>
              <w:spacing w:line="252" w:lineRule="exact"/>
              <w:rPr>
                <w:rFonts w:eastAsia="Times New Roman"/>
              </w:rPr>
            </w:pPr>
            <w:r w:rsidRPr="00A15F13">
              <w:rPr>
                <w:rFonts w:eastAsia="Times New Roman"/>
              </w:rPr>
              <w:t>BACTA</w:t>
            </w:r>
          </w:p>
        </w:tc>
      </w:tr>
      <w:tr w:rsidR="00C01202" w:rsidRPr="00A15F13" w:rsidTr="00C01202">
        <w:tc>
          <w:tcPr>
            <w:tcW w:w="9640" w:type="dxa"/>
          </w:tcPr>
          <w:p w:rsidR="00C01202" w:rsidRPr="00A15F13" w:rsidRDefault="00C01202" w:rsidP="00C93A0E">
            <w:pPr>
              <w:tabs>
                <w:tab w:val="left" w:pos="1560"/>
              </w:tabs>
              <w:spacing w:line="252" w:lineRule="exact"/>
              <w:rPr>
                <w:rFonts w:eastAsia="Times New Roman"/>
              </w:rPr>
            </w:pPr>
            <w:r w:rsidRPr="00A15F13">
              <w:rPr>
                <w:rFonts w:eastAsia="Times New Roman"/>
              </w:rPr>
              <w:t>Harrow Law Centre</w:t>
            </w:r>
          </w:p>
        </w:tc>
      </w:tr>
      <w:tr w:rsidR="00C01202" w:rsidRPr="00A15F13" w:rsidTr="00C01202">
        <w:tc>
          <w:tcPr>
            <w:tcW w:w="9640" w:type="dxa"/>
          </w:tcPr>
          <w:p w:rsidR="00C01202" w:rsidRPr="00A15F13" w:rsidRDefault="00C01202" w:rsidP="00C93A0E">
            <w:pPr>
              <w:tabs>
                <w:tab w:val="left" w:pos="1560"/>
              </w:tabs>
              <w:spacing w:line="252" w:lineRule="exact"/>
              <w:rPr>
                <w:rFonts w:eastAsia="Times New Roman"/>
              </w:rPr>
            </w:pPr>
            <w:r w:rsidRPr="00A15F13">
              <w:rPr>
                <w:rFonts w:eastAsia="Times New Roman"/>
              </w:rPr>
              <w:t>Relate (Harrow)</w:t>
            </w:r>
          </w:p>
        </w:tc>
      </w:tr>
      <w:tr w:rsidR="00C01202" w:rsidRPr="00A15F13" w:rsidTr="00C01202">
        <w:tc>
          <w:tcPr>
            <w:tcW w:w="9640" w:type="dxa"/>
          </w:tcPr>
          <w:p w:rsidR="00C01202" w:rsidRDefault="00C01202" w:rsidP="00C93A0E">
            <w:pPr>
              <w:tabs>
                <w:tab w:val="left" w:pos="1560"/>
              </w:tabs>
              <w:spacing w:line="252" w:lineRule="exact"/>
              <w:rPr>
                <w:rFonts w:eastAsia="Times New Roman"/>
              </w:rPr>
            </w:pPr>
            <w:r w:rsidRPr="00A15F13">
              <w:rPr>
                <w:rFonts w:eastAsia="Times New Roman"/>
              </w:rPr>
              <w:t>Citizens’ Advice Bureau (Harrow)</w:t>
            </w:r>
          </w:p>
          <w:p w:rsidR="00C01202" w:rsidRPr="000911BB" w:rsidRDefault="00C01202" w:rsidP="00C93A0E">
            <w:pPr>
              <w:tabs>
                <w:tab w:val="left" w:pos="1560"/>
              </w:tabs>
              <w:spacing w:line="252" w:lineRule="exact"/>
              <w:rPr>
                <w:rFonts w:eastAsia="Arial"/>
              </w:rPr>
            </w:pPr>
            <w:r w:rsidRPr="00A15F13">
              <w:t>Civic 9 Station Road</w:t>
            </w:r>
            <w:r w:rsidRPr="00A15F13">
              <w:br/>
              <w:t>HARROW</w:t>
            </w:r>
            <w:r w:rsidRPr="00A15F13">
              <w:br/>
              <w:t>Middlesex</w:t>
            </w:r>
            <w:r w:rsidRPr="00A15F13">
              <w:br/>
              <w:t>HA1 2XH</w:t>
            </w:r>
          </w:p>
        </w:tc>
      </w:tr>
      <w:tr w:rsidR="00C01202" w:rsidRPr="00A15F13" w:rsidTr="00C01202">
        <w:tc>
          <w:tcPr>
            <w:tcW w:w="9640" w:type="dxa"/>
          </w:tcPr>
          <w:p w:rsidR="00C01202" w:rsidRPr="00A15F13" w:rsidRDefault="00C01202" w:rsidP="00C93A0E">
            <w:pPr>
              <w:tabs>
                <w:tab w:val="left" w:pos="1560"/>
              </w:tabs>
              <w:spacing w:line="252" w:lineRule="exact"/>
              <w:rPr>
                <w:rFonts w:eastAsia="Times New Roman"/>
              </w:rPr>
            </w:pPr>
            <w:r w:rsidRPr="00A15F13">
              <w:rPr>
                <w:rFonts w:eastAsia="Times New Roman"/>
              </w:rPr>
              <w:t>Harrow Adult Substance Misuse Service</w:t>
            </w:r>
          </w:p>
        </w:tc>
      </w:tr>
      <w:tr w:rsidR="00C01202" w:rsidRPr="00A15F13" w:rsidTr="00C01202">
        <w:tc>
          <w:tcPr>
            <w:tcW w:w="9640" w:type="dxa"/>
          </w:tcPr>
          <w:p w:rsidR="00C01202" w:rsidRPr="00A15F13" w:rsidRDefault="00C01202" w:rsidP="00C93A0E">
            <w:pPr>
              <w:tabs>
                <w:tab w:val="left" w:pos="1560"/>
              </w:tabs>
              <w:spacing w:line="252" w:lineRule="exact"/>
              <w:rPr>
                <w:rFonts w:eastAsia="Times New Roman"/>
              </w:rPr>
            </w:pPr>
            <w:r w:rsidRPr="00A15F13">
              <w:rPr>
                <w:rFonts w:eastAsia="Times New Roman"/>
              </w:rPr>
              <w:t>Chief officer of police</w:t>
            </w:r>
            <w:r>
              <w:rPr>
                <w:rFonts w:eastAsia="Times New Roman"/>
              </w:rPr>
              <w:t xml:space="preserve"> (Harrow)</w:t>
            </w:r>
          </w:p>
        </w:tc>
      </w:tr>
      <w:tr w:rsidR="00C01202" w:rsidRPr="00A15F13" w:rsidTr="00C01202">
        <w:tc>
          <w:tcPr>
            <w:tcW w:w="9640" w:type="dxa"/>
          </w:tcPr>
          <w:p w:rsidR="00C01202" w:rsidRPr="00A15F13" w:rsidRDefault="00C01202" w:rsidP="00C93A0E">
            <w:pPr>
              <w:tabs>
                <w:tab w:val="left" w:pos="1560"/>
              </w:tabs>
              <w:spacing w:line="252" w:lineRule="exact"/>
              <w:rPr>
                <w:rFonts w:eastAsia="Times New Roman"/>
              </w:rPr>
            </w:pPr>
            <w:r w:rsidRPr="00A15F13">
              <w:rPr>
                <w:rFonts w:eastAsia="Times New Roman"/>
              </w:rPr>
              <w:t>Gambling Commission</w:t>
            </w:r>
          </w:p>
        </w:tc>
      </w:tr>
      <w:tr w:rsidR="00C01202" w:rsidRPr="00A15F13" w:rsidTr="00C01202">
        <w:tc>
          <w:tcPr>
            <w:tcW w:w="9640" w:type="dxa"/>
          </w:tcPr>
          <w:p w:rsidR="00C01202" w:rsidRPr="00A15F13" w:rsidRDefault="00C01202" w:rsidP="00C93A0E">
            <w:pPr>
              <w:tabs>
                <w:tab w:val="left" w:pos="1560"/>
              </w:tabs>
              <w:spacing w:line="252" w:lineRule="exact"/>
              <w:rPr>
                <w:rFonts w:eastAsia="Times New Roman"/>
              </w:rPr>
            </w:pPr>
            <w:r w:rsidRPr="00A15F13">
              <w:rPr>
                <w:rFonts w:eastAsia="Times New Roman"/>
              </w:rPr>
              <w:t>London Fire and Rescue Service</w:t>
            </w:r>
          </w:p>
        </w:tc>
      </w:tr>
      <w:tr w:rsidR="00C01202" w:rsidRPr="00A15F13" w:rsidTr="00C01202">
        <w:tc>
          <w:tcPr>
            <w:tcW w:w="9640" w:type="dxa"/>
          </w:tcPr>
          <w:p w:rsidR="00C01202" w:rsidRPr="00A15F13" w:rsidRDefault="00C01202" w:rsidP="00C93A0E">
            <w:pPr>
              <w:tabs>
                <w:tab w:val="left" w:pos="1560"/>
              </w:tabs>
              <w:spacing w:line="252" w:lineRule="exact"/>
              <w:rPr>
                <w:rFonts w:eastAsia="Times New Roman"/>
              </w:rPr>
            </w:pPr>
            <w:r w:rsidRPr="00A15F13">
              <w:rPr>
                <w:rFonts w:eastAsia="Times New Roman"/>
              </w:rPr>
              <w:t>Local planning authority</w:t>
            </w:r>
          </w:p>
        </w:tc>
      </w:tr>
      <w:tr w:rsidR="00C01202" w:rsidRPr="00A15F13" w:rsidTr="00C01202">
        <w:tc>
          <w:tcPr>
            <w:tcW w:w="9640" w:type="dxa"/>
          </w:tcPr>
          <w:p w:rsidR="00C01202" w:rsidRPr="00A15F13" w:rsidRDefault="00C01202" w:rsidP="00C93A0E">
            <w:pPr>
              <w:tabs>
                <w:tab w:val="left" w:pos="1560"/>
              </w:tabs>
              <w:spacing w:line="252" w:lineRule="exact"/>
              <w:rPr>
                <w:rFonts w:eastAsia="Times New Roman"/>
              </w:rPr>
            </w:pPr>
            <w:r w:rsidRPr="00A15F13">
              <w:t>Harrow Council Public Protection</w:t>
            </w:r>
          </w:p>
        </w:tc>
      </w:tr>
      <w:tr w:rsidR="00C01202" w:rsidRPr="00A15F13" w:rsidTr="00C01202">
        <w:tc>
          <w:tcPr>
            <w:tcW w:w="9640" w:type="dxa"/>
          </w:tcPr>
          <w:p w:rsidR="00C01202" w:rsidRPr="00A15F13" w:rsidRDefault="00C01202" w:rsidP="00C93A0E">
            <w:pPr>
              <w:tabs>
                <w:tab w:val="left" w:pos="1560"/>
              </w:tabs>
              <w:spacing w:line="252" w:lineRule="exact"/>
            </w:pPr>
            <w:r w:rsidRPr="00A15F13">
              <w:t xml:space="preserve">Local </w:t>
            </w:r>
            <w:proofErr w:type="spellStart"/>
            <w:r w:rsidRPr="00A15F13">
              <w:t>Childrens</w:t>
            </w:r>
            <w:proofErr w:type="spellEnd"/>
            <w:r w:rsidRPr="00A15F13">
              <w:t>’ Safeguarding Board</w:t>
            </w:r>
          </w:p>
        </w:tc>
      </w:tr>
      <w:tr w:rsidR="00C01202" w:rsidRPr="00A15F13" w:rsidTr="00C01202">
        <w:tc>
          <w:tcPr>
            <w:tcW w:w="9640" w:type="dxa"/>
          </w:tcPr>
          <w:p w:rsidR="00C01202" w:rsidRDefault="00C01202" w:rsidP="00C93A0E">
            <w:pPr>
              <w:pStyle w:val="BodyText"/>
              <w:tabs>
                <w:tab w:val="left" w:pos="1560"/>
              </w:tabs>
              <w:spacing w:before="1"/>
            </w:pPr>
            <w:r w:rsidRPr="00A15F13">
              <w:t>HM Revenue &amp; Customs.</w:t>
            </w:r>
          </w:p>
          <w:p w:rsidR="00C01202" w:rsidRPr="00A15F13" w:rsidRDefault="00C01202" w:rsidP="00C93A0E">
            <w:pPr>
              <w:pStyle w:val="BodyText"/>
              <w:tabs>
                <w:tab w:val="left" w:pos="1560"/>
              </w:tabs>
              <w:spacing w:before="1"/>
            </w:pPr>
            <w:r w:rsidRPr="00A15F13">
              <w:t xml:space="preserve">National Registration Unit- Betting &amp; </w:t>
            </w:r>
            <w:proofErr w:type="spellStart"/>
            <w:r w:rsidRPr="00A15F13">
              <w:t>Gaming;Portcullis</w:t>
            </w:r>
            <w:proofErr w:type="spellEnd"/>
            <w:r w:rsidRPr="00A15F13">
              <w:t xml:space="preserve"> House;</w:t>
            </w:r>
            <w:r w:rsidRPr="00A15F13">
              <w:rPr>
                <w:lang w:val="en"/>
              </w:rPr>
              <w:t>21 India Street; Glasgow;G2 4PZ</w:t>
            </w:r>
          </w:p>
        </w:tc>
      </w:tr>
      <w:tr w:rsidR="00C01202" w:rsidRPr="00A15F13" w:rsidTr="00C01202">
        <w:tc>
          <w:tcPr>
            <w:tcW w:w="9640" w:type="dxa"/>
          </w:tcPr>
          <w:p w:rsidR="00C01202" w:rsidRDefault="00C01202" w:rsidP="00C93A0E">
            <w:pPr>
              <w:pStyle w:val="BodyText"/>
              <w:tabs>
                <w:tab w:val="left" w:pos="1560"/>
              </w:tabs>
              <w:spacing w:before="1"/>
              <w:rPr>
                <w:lang w:val="en"/>
              </w:rPr>
            </w:pPr>
            <w:r w:rsidRPr="00A15F13">
              <w:rPr>
                <w:lang w:val="en"/>
              </w:rPr>
              <w:t>Ladbrokes Betting &amp; Gaming Limited</w:t>
            </w:r>
          </w:p>
          <w:p w:rsidR="00C01202" w:rsidRPr="00A15F13" w:rsidRDefault="00C01202" w:rsidP="00C93A0E">
            <w:pPr>
              <w:pStyle w:val="BodyText"/>
              <w:tabs>
                <w:tab w:val="left" w:pos="1560"/>
              </w:tabs>
              <w:spacing w:before="1"/>
            </w:pPr>
            <w:r w:rsidRPr="00A15F13">
              <w:rPr>
                <w:lang w:val="en"/>
              </w:rPr>
              <w:t>5th Floor, The Zig Zag Building, 70 Victoria Street, London, SW1E 6SQ.</w:t>
            </w:r>
          </w:p>
        </w:tc>
      </w:tr>
      <w:tr w:rsidR="00C01202" w:rsidRPr="00A15F13" w:rsidTr="00C01202">
        <w:tc>
          <w:tcPr>
            <w:tcW w:w="9640" w:type="dxa"/>
          </w:tcPr>
          <w:p w:rsidR="00C01202" w:rsidRPr="00A15F13" w:rsidRDefault="00C01202" w:rsidP="00C93A0E">
            <w:pPr>
              <w:pStyle w:val="BodyText"/>
              <w:tabs>
                <w:tab w:val="left" w:pos="1560"/>
              </w:tabs>
              <w:spacing w:before="1"/>
            </w:pPr>
            <w:r w:rsidRPr="00A15F13">
              <w:t>Admiral Leisure</w:t>
            </w:r>
            <w:r>
              <w:t xml:space="preserve"> (</w:t>
            </w:r>
            <w:proofErr w:type="spellStart"/>
            <w:r>
              <w:t>Novomatic</w:t>
            </w:r>
            <w:proofErr w:type="spellEnd"/>
            <w:r>
              <w:t>)</w:t>
            </w:r>
          </w:p>
        </w:tc>
      </w:tr>
      <w:tr w:rsidR="00C01202" w:rsidRPr="00A15F13" w:rsidTr="00C01202">
        <w:tc>
          <w:tcPr>
            <w:tcW w:w="9640" w:type="dxa"/>
          </w:tcPr>
          <w:p w:rsidR="00C01202" w:rsidRDefault="00C01202" w:rsidP="00C93A0E">
            <w:pPr>
              <w:pStyle w:val="BodyText"/>
              <w:tabs>
                <w:tab w:val="left" w:pos="1560"/>
              </w:tabs>
              <w:spacing w:before="1"/>
              <w:rPr>
                <w:lang w:val="en"/>
              </w:rPr>
            </w:pPr>
            <w:r w:rsidRPr="00A15F13">
              <w:rPr>
                <w:lang w:val="en"/>
              </w:rPr>
              <w:t>William Hill,</w:t>
            </w:r>
            <w:r>
              <w:rPr>
                <w:lang w:val="en"/>
              </w:rPr>
              <w:t xml:space="preserve"> </w:t>
            </w:r>
          </w:p>
          <w:p w:rsidR="00C01202" w:rsidRPr="00A15F13" w:rsidRDefault="00C01202" w:rsidP="00C93A0E">
            <w:pPr>
              <w:pStyle w:val="BodyText"/>
              <w:tabs>
                <w:tab w:val="left" w:pos="1560"/>
              </w:tabs>
              <w:spacing w:before="1"/>
            </w:pPr>
            <w:r w:rsidRPr="00A15F13">
              <w:rPr>
                <w:lang w:val="en"/>
              </w:rPr>
              <w:t xml:space="preserve">Clifton House, 1 to 5 Morris Place, </w:t>
            </w:r>
            <w:proofErr w:type="spellStart"/>
            <w:r w:rsidRPr="00A15F13">
              <w:rPr>
                <w:lang w:val="en"/>
              </w:rPr>
              <w:t>Finsbury</w:t>
            </w:r>
            <w:proofErr w:type="spellEnd"/>
            <w:r w:rsidRPr="00A15F13">
              <w:rPr>
                <w:lang w:val="en"/>
              </w:rPr>
              <w:t>, London, N4 3JG.</w:t>
            </w:r>
          </w:p>
        </w:tc>
      </w:tr>
      <w:tr w:rsidR="00C01202" w:rsidRPr="00A15F13" w:rsidTr="00C01202">
        <w:tc>
          <w:tcPr>
            <w:tcW w:w="9640" w:type="dxa"/>
          </w:tcPr>
          <w:p w:rsidR="00C01202" w:rsidRDefault="00C01202" w:rsidP="00C93A0E">
            <w:pPr>
              <w:pStyle w:val="BodyText"/>
              <w:tabs>
                <w:tab w:val="left" w:pos="1560"/>
              </w:tabs>
              <w:spacing w:before="1"/>
              <w:rPr>
                <w:lang w:val="en"/>
              </w:rPr>
            </w:pPr>
            <w:r w:rsidRPr="00A15F13">
              <w:rPr>
                <w:lang w:val="en"/>
              </w:rPr>
              <w:t>Paddy Power UK</w:t>
            </w:r>
          </w:p>
          <w:p w:rsidR="00C01202" w:rsidRPr="00A15F13" w:rsidRDefault="00C01202" w:rsidP="00C93A0E">
            <w:pPr>
              <w:pStyle w:val="BodyText"/>
              <w:tabs>
                <w:tab w:val="left" w:pos="1560"/>
              </w:tabs>
              <w:spacing w:before="1"/>
            </w:pPr>
            <w:r w:rsidRPr="00A15F13">
              <w:rPr>
                <w:lang w:val="en"/>
              </w:rPr>
              <w:t>3</w:t>
            </w:r>
            <w:r>
              <w:rPr>
                <w:lang w:val="en"/>
              </w:rPr>
              <w:t>3</w:t>
            </w:r>
            <w:r w:rsidRPr="00A15F13">
              <w:rPr>
                <w:lang w:val="en"/>
              </w:rPr>
              <w:t xml:space="preserve"> St James's Square</w:t>
            </w:r>
            <w:proofErr w:type="gramStart"/>
            <w:r w:rsidRPr="00A15F13">
              <w:rPr>
                <w:lang w:val="en"/>
              </w:rPr>
              <w:t>, .</w:t>
            </w:r>
            <w:proofErr w:type="gramEnd"/>
            <w:r w:rsidRPr="00A15F13">
              <w:rPr>
                <w:lang w:val="en"/>
              </w:rPr>
              <w:t>, Westminster, London, SW1Y 4JS.</w:t>
            </w:r>
          </w:p>
        </w:tc>
      </w:tr>
      <w:tr w:rsidR="00C01202" w:rsidRPr="00A15F13" w:rsidTr="00C01202">
        <w:tc>
          <w:tcPr>
            <w:tcW w:w="9640" w:type="dxa"/>
          </w:tcPr>
          <w:p w:rsidR="00C01202" w:rsidRDefault="00C01202" w:rsidP="00C93A0E">
            <w:pPr>
              <w:pStyle w:val="BodyText"/>
              <w:tabs>
                <w:tab w:val="left" w:pos="1560"/>
              </w:tabs>
              <w:spacing w:before="1"/>
              <w:rPr>
                <w:lang w:val="en"/>
              </w:rPr>
            </w:pPr>
            <w:r w:rsidRPr="00A15F13">
              <w:rPr>
                <w:lang w:val="en"/>
              </w:rPr>
              <w:t>Future Leisure Limited,</w:t>
            </w:r>
          </w:p>
          <w:p w:rsidR="00C01202" w:rsidRPr="00A15F13" w:rsidRDefault="00C01202" w:rsidP="00C93A0E">
            <w:pPr>
              <w:pStyle w:val="BodyText"/>
              <w:tabs>
                <w:tab w:val="left" w:pos="1560"/>
              </w:tabs>
              <w:spacing w:before="1"/>
            </w:pPr>
            <w:r w:rsidRPr="00A15F13">
              <w:rPr>
                <w:lang w:val="en"/>
              </w:rPr>
              <w:t xml:space="preserve">Unit 20 </w:t>
            </w:r>
            <w:proofErr w:type="spellStart"/>
            <w:r w:rsidRPr="00A15F13">
              <w:rPr>
                <w:lang w:val="en"/>
              </w:rPr>
              <w:t>Fleetway</w:t>
            </w:r>
            <w:proofErr w:type="spellEnd"/>
            <w:r w:rsidRPr="00A15F13">
              <w:rPr>
                <w:lang w:val="en"/>
              </w:rPr>
              <w:t xml:space="preserve"> Business Park, 14-16 Wadsworth Road, Greenford, Middlesex, UB6 7LD</w:t>
            </w:r>
          </w:p>
        </w:tc>
      </w:tr>
      <w:tr w:rsidR="00C01202" w:rsidRPr="00A15F13" w:rsidTr="00C01202">
        <w:tc>
          <w:tcPr>
            <w:tcW w:w="9640" w:type="dxa"/>
          </w:tcPr>
          <w:p w:rsidR="00C01202" w:rsidRDefault="00C01202" w:rsidP="00C93A0E">
            <w:pPr>
              <w:pStyle w:val="BodyText"/>
              <w:tabs>
                <w:tab w:val="left" w:pos="1560"/>
              </w:tabs>
              <w:spacing w:before="1"/>
              <w:rPr>
                <w:lang w:val="en"/>
              </w:rPr>
            </w:pPr>
            <w:proofErr w:type="spellStart"/>
            <w:r w:rsidRPr="00A15F13">
              <w:rPr>
                <w:lang w:val="en"/>
              </w:rPr>
              <w:t>Cashino</w:t>
            </w:r>
            <w:proofErr w:type="spellEnd"/>
            <w:r w:rsidRPr="00A15F13">
              <w:rPr>
                <w:lang w:val="en"/>
              </w:rPr>
              <w:t xml:space="preserve"> Gaming Ltd</w:t>
            </w:r>
          </w:p>
          <w:p w:rsidR="00C01202" w:rsidRPr="00A15F13" w:rsidRDefault="00C01202" w:rsidP="00C93A0E">
            <w:pPr>
              <w:pStyle w:val="BodyText"/>
              <w:tabs>
                <w:tab w:val="left" w:pos="1560"/>
              </w:tabs>
              <w:spacing w:before="1"/>
              <w:rPr>
                <w:lang w:val="en"/>
              </w:rPr>
            </w:pPr>
            <w:proofErr w:type="spellStart"/>
            <w:r w:rsidRPr="00A15F13">
              <w:rPr>
                <w:lang w:val="en"/>
              </w:rPr>
              <w:t>Seebeck</w:t>
            </w:r>
            <w:proofErr w:type="spellEnd"/>
            <w:r w:rsidRPr="00A15F13">
              <w:rPr>
                <w:lang w:val="en"/>
              </w:rPr>
              <w:t xml:space="preserve"> House, 1A </w:t>
            </w:r>
            <w:proofErr w:type="spellStart"/>
            <w:r w:rsidRPr="00A15F13">
              <w:rPr>
                <w:lang w:val="en"/>
              </w:rPr>
              <w:t>Seebeck</w:t>
            </w:r>
            <w:proofErr w:type="spellEnd"/>
            <w:r w:rsidRPr="00A15F13">
              <w:rPr>
                <w:lang w:val="en"/>
              </w:rPr>
              <w:t xml:space="preserve"> Place, </w:t>
            </w:r>
            <w:proofErr w:type="spellStart"/>
            <w:r w:rsidRPr="00A15F13">
              <w:rPr>
                <w:lang w:val="en"/>
              </w:rPr>
              <w:t>Knowlhill</w:t>
            </w:r>
            <w:proofErr w:type="spellEnd"/>
            <w:r w:rsidRPr="00A15F13">
              <w:rPr>
                <w:lang w:val="en"/>
              </w:rPr>
              <w:t>, Milton Keynes, MK5 8FR.</w:t>
            </w:r>
          </w:p>
        </w:tc>
      </w:tr>
      <w:tr w:rsidR="00C01202" w:rsidRPr="00A15F13" w:rsidTr="00C01202">
        <w:tc>
          <w:tcPr>
            <w:tcW w:w="9640" w:type="dxa"/>
          </w:tcPr>
          <w:p w:rsidR="00C01202" w:rsidRDefault="00C01202" w:rsidP="00C93A0E">
            <w:pPr>
              <w:pStyle w:val="BodyText"/>
              <w:tabs>
                <w:tab w:val="left" w:pos="1560"/>
              </w:tabs>
              <w:spacing w:before="1"/>
              <w:rPr>
                <w:lang w:val="en"/>
              </w:rPr>
            </w:pPr>
            <w:proofErr w:type="spellStart"/>
            <w:r w:rsidRPr="00A15F13">
              <w:rPr>
                <w:lang w:val="en"/>
              </w:rPr>
              <w:t>Betfred</w:t>
            </w:r>
            <w:proofErr w:type="spellEnd"/>
          </w:p>
          <w:p w:rsidR="00C01202" w:rsidRPr="00A15F13" w:rsidRDefault="00C01202" w:rsidP="00C93A0E">
            <w:pPr>
              <w:pStyle w:val="BodyText"/>
              <w:tabs>
                <w:tab w:val="left" w:pos="1560"/>
              </w:tabs>
              <w:spacing w:before="1"/>
              <w:rPr>
                <w:lang w:val="en"/>
              </w:rPr>
            </w:pPr>
            <w:r w:rsidRPr="00A15F13">
              <w:rPr>
                <w:lang w:val="en"/>
              </w:rPr>
              <w:t>Spectrum, 56/58 Benson Road, Birchwood, Warrington, WA3 7PQ.</w:t>
            </w:r>
          </w:p>
        </w:tc>
      </w:tr>
      <w:tr w:rsidR="00C01202" w:rsidRPr="00A15F13" w:rsidTr="00C01202">
        <w:tc>
          <w:tcPr>
            <w:tcW w:w="9640" w:type="dxa"/>
          </w:tcPr>
          <w:p w:rsidR="00C01202" w:rsidRDefault="00C01202" w:rsidP="00C93A0E">
            <w:pPr>
              <w:pStyle w:val="BodyText"/>
              <w:tabs>
                <w:tab w:val="left" w:pos="1560"/>
              </w:tabs>
              <w:spacing w:before="1"/>
              <w:rPr>
                <w:lang w:val="en"/>
              </w:rPr>
            </w:pPr>
            <w:proofErr w:type="spellStart"/>
            <w:r w:rsidRPr="00A15F13">
              <w:rPr>
                <w:lang w:val="en"/>
              </w:rPr>
              <w:t>Silvertime</w:t>
            </w:r>
            <w:proofErr w:type="spellEnd"/>
            <w:r w:rsidRPr="00A15F13">
              <w:rPr>
                <w:lang w:val="en"/>
              </w:rPr>
              <w:t xml:space="preserve"> Amusements Ltd</w:t>
            </w:r>
          </w:p>
          <w:p w:rsidR="00C01202" w:rsidRPr="00A15F13" w:rsidRDefault="00C01202" w:rsidP="00C93A0E">
            <w:pPr>
              <w:pStyle w:val="BodyText"/>
              <w:tabs>
                <w:tab w:val="left" w:pos="1560"/>
              </w:tabs>
              <w:spacing w:before="1"/>
              <w:rPr>
                <w:lang w:val="en"/>
              </w:rPr>
            </w:pPr>
            <w:r w:rsidRPr="00A15F13">
              <w:rPr>
                <w:lang w:val="en"/>
              </w:rPr>
              <w:t xml:space="preserve">116 Burnt Oak Broadway, </w:t>
            </w:r>
            <w:proofErr w:type="spellStart"/>
            <w:r w:rsidRPr="00A15F13">
              <w:rPr>
                <w:lang w:val="en"/>
              </w:rPr>
              <w:t>Edgware</w:t>
            </w:r>
            <w:proofErr w:type="spellEnd"/>
            <w:r w:rsidRPr="00A15F13">
              <w:rPr>
                <w:lang w:val="en"/>
              </w:rPr>
              <w:t>, HA8 0BB.</w:t>
            </w:r>
          </w:p>
        </w:tc>
      </w:tr>
    </w:tbl>
    <w:p w:rsidR="00C01202" w:rsidRPr="00670E5D" w:rsidRDefault="00C01202" w:rsidP="00C01202"/>
    <w:p w:rsidR="00C01202" w:rsidRPr="00670E5D" w:rsidRDefault="00C01202" w:rsidP="00C01202">
      <w:pPr>
        <w:pStyle w:val="BodyText"/>
        <w:rPr>
          <w:b/>
          <w:lang w:val="en-GB"/>
        </w:rPr>
      </w:pPr>
      <w:r w:rsidRPr="00670E5D">
        <w:rPr>
          <w:b/>
          <w:lang w:val="en-GB"/>
        </w:rPr>
        <w:t>AWP Holders:</w:t>
      </w:r>
    </w:p>
    <w:p w:rsidR="00C01202" w:rsidRPr="00670E5D" w:rsidRDefault="00C01202" w:rsidP="00C01202">
      <w:pPr>
        <w:pStyle w:val="BodyText"/>
        <w:rPr>
          <w:lang w:val="en-GB"/>
        </w:rPr>
      </w:pPr>
    </w:p>
    <w:tbl>
      <w:tblPr>
        <w:tblW w:w="9640" w:type="dxa"/>
        <w:tblInd w:w="-318" w:type="dxa"/>
        <w:tblLook w:val="04A0" w:firstRow="1" w:lastRow="0" w:firstColumn="1" w:lastColumn="0" w:noHBand="0" w:noVBand="1"/>
      </w:tblPr>
      <w:tblGrid>
        <w:gridCol w:w="9640"/>
      </w:tblGrid>
      <w:tr w:rsidR="00C01202" w:rsidRPr="00670E5D" w:rsidTr="00C01202">
        <w:trPr>
          <w:trHeight w:val="285"/>
        </w:trPr>
        <w:tc>
          <w:tcPr>
            <w:tcW w:w="9640" w:type="dxa"/>
            <w:tcBorders>
              <w:top w:val="single" w:sz="4" w:space="0" w:color="auto"/>
              <w:left w:val="single" w:sz="4" w:space="0" w:color="auto"/>
              <w:bottom w:val="single" w:sz="4" w:space="0" w:color="auto"/>
              <w:right w:val="single" w:sz="4" w:space="0" w:color="auto"/>
            </w:tcBorders>
            <w:shd w:val="clear" w:color="auto" w:fill="auto"/>
            <w:noWrap/>
            <w:hideMark/>
          </w:tcPr>
          <w:p w:rsidR="00C01202" w:rsidRPr="00670E5D" w:rsidRDefault="00C01202" w:rsidP="00C93A0E">
            <w:pPr>
              <w:rPr>
                <w:rFonts w:eastAsia="Times New Roman"/>
                <w:color w:val="000000"/>
              </w:rPr>
            </w:pPr>
            <w:r w:rsidRPr="00670E5D">
              <w:rPr>
                <w:rFonts w:eastAsia="Times New Roman"/>
                <w:color w:val="000000"/>
              </w:rPr>
              <w:t>London Edgware Premier Inn, 435 Burnt Oak Broadway, Edgware, Middlesex, HA8 5AQ</w:t>
            </w:r>
          </w:p>
        </w:tc>
      </w:tr>
      <w:tr w:rsidR="00C01202" w:rsidRPr="00670E5D" w:rsidTr="00C01202">
        <w:trPr>
          <w:trHeight w:val="285"/>
        </w:trPr>
        <w:tc>
          <w:tcPr>
            <w:tcW w:w="9640" w:type="dxa"/>
            <w:tcBorders>
              <w:top w:val="nil"/>
              <w:left w:val="single" w:sz="4" w:space="0" w:color="auto"/>
              <w:bottom w:val="single" w:sz="4" w:space="0" w:color="auto"/>
              <w:right w:val="single" w:sz="4" w:space="0" w:color="auto"/>
            </w:tcBorders>
            <w:shd w:val="clear" w:color="auto" w:fill="auto"/>
            <w:noWrap/>
            <w:hideMark/>
          </w:tcPr>
          <w:p w:rsidR="00C01202" w:rsidRPr="00670E5D" w:rsidRDefault="00C01202" w:rsidP="00C93A0E">
            <w:pPr>
              <w:rPr>
                <w:rFonts w:eastAsia="Times New Roman"/>
                <w:color w:val="000000"/>
              </w:rPr>
            </w:pPr>
            <w:r w:rsidRPr="00670E5D">
              <w:rPr>
                <w:rFonts w:eastAsia="Times New Roman"/>
                <w:color w:val="000000"/>
              </w:rPr>
              <w:t>The 19 Club, 19 North Parade, Mollison Way, Edgware, Middlesex, HA8 5QH</w:t>
            </w:r>
          </w:p>
        </w:tc>
      </w:tr>
      <w:tr w:rsidR="00C01202" w:rsidRPr="00670E5D" w:rsidTr="00C01202">
        <w:trPr>
          <w:trHeight w:val="285"/>
        </w:trPr>
        <w:tc>
          <w:tcPr>
            <w:tcW w:w="9640" w:type="dxa"/>
            <w:tcBorders>
              <w:top w:val="nil"/>
              <w:left w:val="single" w:sz="4" w:space="0" w:color="auto"/>
              <w:bottom w:val="single" w:sz="4" w:space="0" w:color="auto"/>
              <w:right w:val="single" w:sz="4" w:space="0" w:color="auto"/>
            </w:tcBorders>
            <w:shd w:val="clear" w:color="auto" w:fill="auto"/>
            <w:noWrap/>
            <w:hideMark/>
          </w:tcPr>
          <w:p w:rsidR="00C01202" w:rsidRPr="00670E5D" w:rsidRDefault="00C01202" w:rsidP="00C93A0E">
            <w:pPr>
              <w:rPr>
                <w:rFonts w:eastAsia="Times New Roman"/>
                <w:color w:val="000000"/>
              </w:rPr>
            </w:pPr>
            <w:proofErr w:type="spellStart"/>
            <w:r w:rsidRPr="00670E5D">
              <w:rPr>
                <w:rFonts w:eastAsia="Times New Roman"/>
                <w:color w:val="000000"/>
              </w:rPr>
              <w:t>Zan</w:t>
            </w:r>
            <w:proofErr w:type="spellEnd"/>
            <w:r w:rsidRPr="00670E5D">
              <w:rPr>
                <w:rFonts w:eastAsia="Times New Roman"/>
                <w:color w:val="000000"/>
              </w:rPr>
              <w:t xml:space="preserve"> </w:t>
            </w:r>
            <w:proofErr w:type="spellStart"/>
            <w:r w:rsidRPr="00670E5D">
              <w:rPr>
                <w:rFonts w:eastAsia="Times New Roman"/>
                <w:color w:val="000000"/>
              </w:rPr>
              <w:t>Zi</w:t>
            </w:r>
            <w:proofErr w:type="spellEnd"/>
            <w:r w:rsidRPr="00670E5D">
              <w:rPr>
                <w:rFonts w:eastAsia="Times New Roman"/>
                <w:color w:val="000000"/>
              </w:rPr>
              <w:t xml:space="preserve"> Bar, 113 High Street, Edgware, Middlesex, HA8 7DB</w:t>
            </w:r>
          </w:p>
        </w:tc>
      </w:tr>
      <w:tr w:rsidR="00C01202" w:rsidRPr="00670E5D" w:rsidTr="00C01202">
        <w:trPr>
          <w:trHeight w:val="285"/>
        </w:trPr>
        <w:tc>
          <w:tcPr>
            <w:tcW w:w="9640" w:type="dxa"/>
            <w:tcBorders>
              <w:top w:val="nil"/>
              <w:left w:val="single" w:sz="4" w:space="0" w:color="auto"/>
              <w:bottom w:val="single" w:sz="4" w:space="0" w:color="auto"/>
              <w:right w:val="single" w:sz="4" w:space="0" w:color="auto"/>
            </w:tcBorders>
            <w:shd w:val="clear" w:color="auto" w:fill="auto"/>
            <w:noWrap/>
            <w:hideMark/>
          </w:tcPr>
          <w:p w:rsidR="00C01202" w:rsidRPr="00670E5D" w:rsidRDefault="00C01202" w:rsidP="00C93A0E">
            <w:pPr>
              <w:rPr>
                <w:rFonts w:eastAsia="Times New Roman"/>
                <w:color w:val="000000"/>
              </w:rPr>
            </w:pPr>
            <w:r w:rsidRPr="00670E5D">
              <w:rPr>
                <w:rFonts w:eastAsia="Times New Roman"/>
                <w:color w:val="000000"/>
              </w:rPr>
              <w:t>St Gabriel's Social Club, 388 Northolt Road, South Harrow, Middlesex, HA2 8EX</w:t>
            </w:r>
          </w:p>
        </w:tc>
      </w:tr>
      <w:tr w:rsidR="00C01202" w:rsidRPr="00670E5D" w:rsidTr="00C01202">
        <w:trPr>
          <w:trHeight w:val="285"/>
        </w:trPr>
        <w:tc>
          <w:tcPr>
            <w:tcW w:w="9640" w:type="dxa"/>
            <w:tcBorders>
              <w:top w:val="nil"/>
              <w:left w:val="single" w:sz="4" w:space="0" w:color="auto"/>
              <w:bottom w:val="single" w:sz="4" w:space="0" w:color="auto"/>
              <w:right w:val="single" w:sz="4" w:space="0" w:color="auto"/>
            </w:tcBorders>
            <w:shd w:val="clear" w:color="auto" w:fill="auto"/>
            <w:noWrap/>
            <w:hideMark/>
          </w:tcPr>
          <w:p w:rsidR="00C01202" w:rsidRPr="00670E5D" w:rsidRDefault="00C01202" w:rsidP="00C93A0E">
            <w:pPr>
              <w:rPr>
                <w:rFonts w:eastAsia="Times New Roman"/>
                <w:color w:val="000000"/>
              </w:rPr>
            </w:pPr>
            <w:r w:rsidRPr="00670E5D">
              <w:rPr>
                <w:rFonts w:eastAsia="Times New Roman"/>
                <w:color w:val="000000"/>
              </w:rPr>
              <w:t>Ruffles, 16 Canning Road, Wealdstone, Middlesex, HA3 7SJ</w:t>
            </w:r>
          </w:p>
        </w:tc>
      </w:tr>
      <w:tr w:rsidR="00C01202" w:rsidRPr="00670E5D" w:rsidTr="00C01202">
        <w:trPr>
          <w:trHeight w:val="285"/>
        </w:trPr>
        <w:tc>
          <w:tcPr>
            <w:tcW w:w="9640" w:type="dxa"/>
            <w:tcBorders>
              <w:top w:val="nil"/>
              <w:left w:val="single" w:sz="4" w:space="0" w:color="auto"/>
              <w:bottom w:val="single" w:sz="4" w:space="0" w:color="auto"/>
              <w:right w:val="single" w:sz="4" w:space="0" w:color="auto"/>
            </w:tcBorders>
            <w:shd w:val="clear" w:color="auto" w:fill="auto"/>
            <w:noWrap/>
            <w:hideMark/>
          </w:tcPr>
          <w:p w:rsidR="00C01202" w:rsidRPr="00670E5D" w:rsidRDefault="00C01202" w:rsidP="00C93A0E">
            <w:pPr>
              <w:rPr>
                <w:rFonts w:eastAsia="Times New Roman"/>
                <w:color w:val="000000"/>
              </w:rPr>
            </w:pPr>
            <w:r w:rsidRPr="00670E5D">
              <w:rPr>
                <w:rFonts w:eastAsia="Times New Roman"/>
                <w:color w:val="000000"/>
              </w:rPr>
              <w:t xml:space="preserve">Urban </w:t>
            </w:r>
            <w:proofErr w:type="spellStart"/>
            <w:r w:rsidRPr="00670E5D">
              <w:rPr>
                <w:rFonts w:eastAsia="Times New Roman"/>
                <w:color w:val="000000"/>
              </w:rPr>
              <w:t>Haandi</w:t>
            </w:r>
            <w:proofErr w:type="spellEnd"/>
            <w:r w:rsidRPr="00670E5D">
              <w:rPr>
                <w:rFonts w:eastAsia="Times New Roman"/>
                <w:color w:val="000000"/>
              </w:rPr>
              <w:t>, 244 Streatfield Road, Harrow, Middlesex, HA3 9BX</w:t>
            </w:r>
          </w:p>
        </w:tc>
      </w:tr>
      <w:tr w:rsidR="00C01202" w:rsidRPr="00670E5D" w:rsidTr="00C01202">
        <w:trPr>
          <w:trHeight w:val="285"/>
        </w:trPr>
        <w:tc>
          <w:tcPr>
            <w:tcW w:w="9640" w:type="dxa"/>
            <w:tcBorders>
              <w:top w:val="nil"/>
              <w:left w:val="single" w:sz="4" w:space="0" w:color="auto"/>
              <w:bottom w:val="single" w:sz="4" w:space="0" w:color="auto"/>
              <w:right w:val="single" w:sz="4" w:space="0" w:color="auto"/>
            </w:tcBorders>
            <w:shd w:val="clear" w:color="auto" w:fill="auto"/>
            <w:noWrap/>
            <w:hideMark/>
          </w:tcPr>
          <w:p w:rsidR="00C01202" w:rsidRPr="00670E5D" w:rsidRDefault="00C01202" w:rsidP="00C93A0E">
            <w:pPr>
              <w:rPr>
                <w:rFonts w:eastAsia="Times New Roman"/>
                <w:color w:val="000000"/>
              </w:rPr>
            </w:pPr>
            <w:r w:rsidRPr="00670E5D">
              <w:rPr>
                <w:rFonts w:eastAsia="Times New Roman"/>
                <w:color w:val="000000"/>
              </w:rPr>
              <w:t>Purple Flame, 433-437 Honeypot Lane, Stanmore, Middlesex, HA7 1JJ</w:t>
            </w:r>
          </w:p>
        </w:tc>
      </w:tr>
      <w:tr w:rsidR="00C01202" w:rsidRPr="00670E5D" w:rsidTr="00C01202">
        <w:trPr>
          <w:trHeight w:val="285"/>
        </w:trPr>
        <w:tc>
          <w:tcPr>
            <w:tcW w:w="9640" w:type="dxa"/>
            <w:tcBorders>
              <w:top w:val="nil"/>
              <w:left w:val="single" w:sz="4" w:space="0" w:color="auto"/>
              <w:bottom w:val="single" w:sz="4" w:space="0" w:color="auto"/>
              <w:right w:val="single" w:sz="4" w:space="0" w:color="auto"/>
            </w:tcBorders>
            <w:shd w:val="clear" w:color="auto" w:fill="auto"/>
            <w:noWrap/>
            <w:hideMark/>
          </w:tcPr>
          <w:p w:rsidR="00C01202" w:rsidRPr="00670E5D" w:rsidRDefault="00C01202" w:rsidP="00C93A0E">
            <w:pPr>
              <w:rPr>
                <w:rFonts w:eastAsia="Times New Roman"/>
                <w:color w:val="000000"/>
              </w:rPr>
            </w:pPr>
            <w:r w:rsidRPr="00670E5D">
              <w:rPr>
                <w:rFonts w:eastAsia="Times New Roman"/>
                <w:color w:val="000000"/>
              </w:rPr>
              <w:t>Lisbon Deli Cafe, 9 Whitchurch Parade, Whitchurch Lane, Edgware, Middlesex, HA8 6LP</w:t>
            </w:r>
          </w:p>
        </w:tc>
      </w:tr>
      <w:tr w:rsidR="00C01202" w:rsidRPr="00670E5D" w:rsidTr="00C01202">
        <w:trPr>
          <w:trHeight w:val="285"/>
        </w:trPr>
        <w:tc>
          <w:tcPr>
            <w:tcW w:w="9640" w:type="dxa"/>
            <w:tcBorders>
              <w:top w:val="nil"/>
              <w:left w:val="single" w:sz="4" w:space="0" w:color="auto"/>
              <w:bottom w:val="single" w:sz="4" w:space="0" w:color="auto"/>
              <w:right w:val="single" w:sz="4" w:space="0" w:color="auto"/>
            </w:tcBorders>
            <w:shd w:val="clear" w:color="auto" w:fill="auto"/>
            <w:noWrap/>
            <w:hideMark/>
          </w:tcPr>
          <w:p w:rsidR="00C01202" w:rsidRPr="00670E5D" w:rsidRDefault="00C01202" w:rsidP="00C93A0E">
            <w:pPr>
              <w:rPr>
                <w:rFonts w:eastAsia="Times New Roman"/>
                <w:color w:val="000000"/>
              </w:rPr>
            </w:pPr>
            <w:r w:rsidRPr="00670E5D">
              <w:rPr>
                <w:rFonts w:eastAsia="Times New Roman"/>
                <w:color w:val="000000"/>
              </w:rPr>
              <w:t>Maya Pub, 3 Shaftesbury Parade, Shaftesbury Avenue, South Harrow, Middlesex, HA2 0AJ</w:t>
            </w:r>
          </w:p>
        </w:tc>
      </w:tr>
      <w:tr w:rsidR="00C01202" w:rsidRPr="00670E5D" w:rsidTr="00C01202">
        <w:trPr>
          <w:trHeight w:val="285"/>
        </w:trPr>
        <w:tc>
          <w:tcPr>
            <w:tcW w:w="9640" w:type="dxa"/>
            <w:tcBorders>
              <w:top w:val="nil"/>
              <w:left w:val="single" w:sz="4" w:space="0" w:color="auto"/>
              <w:bottom w:val="single" w:sz="4" w:space="0" w:color="auto"/>
              <w:right w:val="single" w:sz="4" w:space="0" w:color="auto"/>
            </w:tcBorders>
            <w:shd w:val="clear" w:color="auto" w:fill="auto"/>
            <w:noWrap/>
            <w:hideMark/>
          </w:tcPr>
          <w:p w:rsidR="00C01202" w:rsidRPr="00670E5D" w:rsidRDefault="00C01202" w:rsidP="00C93A0E">
            <w:pPr>
              <w:rPr>
                <w:rFonts w:eastAsia="Times New Roman"/>
                <w:color w:val="000000"/>
              </w:rPr>
            </w:pPr>
            <w:r w:rsidRPr="00670E5D">
              <w:rPr>
                <w:rFonts w:eastAsia="Times New Roman"/>
                <w:color w:val="000000"/>
              </w:rPr>
              <w:t>TJ's Sports Bar, 108 High Street, Wealdstone, Harrow, Middlesex, HA3 7AH</w:t>
            </w:r>
          </w:p>
        </w:tc>
      </w:tr>
      <w:tr w:rsidR="00C01202" w:rsidRPr="00670E5D" w:rsidTr="00C01202">
        <w:trPr>
          <w:trHeight w:val="285"/>
        </w:trPr>
        <w:tc>
          <w:tcPr>
            <w:tcW w:w="9640" w:type="dxa"/>
            <w:tcBorders>
              <w:top w:val="nil"/>
              <w:left w:val="single" w:sz="4" w:space="0" w:color="auto"/>
              <w:bottom w:val="single" w:sz="4" w:space="0" w:color="auto"/>
              <w:right w:val="single" w:sz="4" w:space="0" w:color="auto"/>
            </w:tcBorders>
            <w:shd w:val="clear" w:color="auto" w:fill="auto"/>
            <w:noWrap/>
            <w:hideMark/>
          </w:tcPr>
          <w:p w:rsidR="00C01202" w:rsidRPr="00670E5D" w:rsidRDefault="00C01202" w:rsidP="00C93A0E">
            <w:pPr>
              <w:rPr>
                <w:rFonts w:eastAsia="Times New Roman"/>
                <w:color w:val="000000"/>
              </w:rPr>
            </w:pPr>
            <w:r w:rsidRPr="00670E5D">
              <w:rPr>
                <w:rFonts w:eastAsia="Times New Roman"/>
                <w:color w:val="000000"/>
              </w:rPr>
              <w:lastRenderedPageBreak/>
              <w:t>Travellers Rest PH, The Travellers Rest, Kenton Road, Harrow, Middlesex, HA3 8AT</w:t>
            </w:r>
          </w:p>
        </w:tc>
      </w:tr>
      <w:tr w:rsidR="00C01202" w:rsidRPr="00670E5D" w:rsidTr="00C01202">
        <w:trPr>
          <w:trHeight w:val="285"/>
        </w:trPr>
        <w:tc>
          <w:tcPr>
            <w:tcW w:w="9640" w:type="dxa"/>
            <w:tcBorders>
              <w:top w:val="nil"/>
              <w:left w:val="single" w:sz="4" w:space="0" w:color="auto"/>
              <w:bottom w:val="single" w:sz="4" w:space="0" w:color="auto"/>
              <w:right w:val="single" w:sz="4" w:space="0" w:color="auto"/>
            </w:tcBorders>
            <w:shd w:val="clear" w:color="auto" w:fill="auto"/>
            <w:noWrap/>
            <w:hideMark/>
          </w:tcPr>
          <w:p w:rsidR="00C01202" w:rsidRPr="00670E5D" w:rsidRDefault="00C01202" w:rsidP="00C93A0E">
            <w:pPr>
              <w:rPr>
                <w:rFonts w:eastAsia="Times New Roman"/>
                <w:color w:val="000000"/>
              </w:rPr>
            </w:pPr>
            <w:r w:rsidRPr="00670E5D">
              <w:rPr>
                <w:rFonts w:eastAsia="Times New Roman"/>
                <w:color w:val="000000"/>
              </w:rPr>
              <w:t>Life of Reilly, 7 Warwick Parade, Kenton Lane, Harrow, Middlesex, HA3 8SA</w:t>
            </w:r>
          </w:p>
        </w:tc>
      </w:tr>
      <w:tr w:rsidR="00C01202" w:rsidRPr="00670E5D" w:rsidTr="00C01202">
        <w:trPr>
          <w:trHeight w:val="285"/>
        </w:trPr>
        <w:tc>
          <w:tcPr>
            <w:tcW w:w="9640" w:type="dxa"/>
            <w:tcBorders>
              <w:top w:val="nil"/>
              <w:left w:val="single" w:sz="4" w:space="0" w:color="auto"/>
              <w:bottom w:val="single" w:sz="4" w:space="0" w:color="auto"/>
              <w:right w:val="single" w:sz="4" w:space="0" w:color="auto"/>
            </w:tcBorders>
            <w:shd w:val="clear" w:color="auto" w:fill="auto"/>
            <w:noWrap/>
            <w:hideMark/>
          </w:tcPr>
          <w:p w:rsidR="00C01202" w:rsidRPr="00670E5D" w:rsidRDefault="00C01202" w:rsidP="00C93A0E">
            <w:pPr>
              <w:rPr>
                <w:rFonts w:eastAsia="Times New Roman"/>
                <w:color w:val="000000"/>
              </w:rPr>
            </w:pPr>
            <w:r w:rsidRPr="00670E5D">
              <w:rPr>
                <w:rFonts w:eastAsia="Times New Roman"/>
                <w:color w:val="000000"/>
              </w:rPr>
              <w:t>Jameson's Bar, 34 South Parade, Mollison Way, Edgware, Middlesex, HA8 5QL</w:t>
            </w:r>
          </w:p>
        </w:tc>
      </w:tr>
      <w:tr w:rsidR="00C01202" w:rsidRPr="00670E5D" w:rsidTr="00C01202">
        <w:trPr>
          <w:trHeight w:val="285"/>
        </w:trPr>
        <w:tc>
          <w:tcPr>
            <w:tcW w:w="9640" w:type="dxa"/>
            <w:tcBorders>
              <w:top w:val="nil"/>
              <w:left w:val="single" w:sz="4" w:space="0" w:color="auto"/>
              <w:bottom w:val="single" w:sz="4" w:space="0" w:color="auto"/>
              <w:right w:val="single" w:sz="4" w:space="0" w:color="auto"/>
            </w:tcBorders>
            <w:shd w:val="clear" w:color="auto" w:fill="auto"/>
            <w:noWrap/>
            <w:hideMark/>
          </w:tcPr>
          <w:p w:rsidR="00C01202" w:rsidRPr="00670E5D" w:rsidRDefault="00C01202" w:rsidP="00C93A0E">
            <w:pPr>
              <w:rPr>
                <w:rFonts w:eastAsia="Times New Roman"/>
                <w:color w:val="000000"/>
              </w:rPr>
            </w:pPr>
            <w:r w:rsidRPr="00670E5D">
              <w:rPr>
                <w:rFonts w:eastAsia="Times New Roman"/>
                <w:color w:val="000000"/>
              </w:rPr>
              <w:t>Masons Arms Public House, 75 High Street, Edgware, Middlesex, HA8 7DD</w:t>
            </w:r>
          </w:p>
        </w:tc>
      </w:tr>
      <w:tr w:rsidR="00C01202" w:rsidRPr="00670E5D" w:rsidTr="00C01202">
        <w:trPr>
          <w:trHeight w:val="285"/>
        </w:trPr>
        <w:tc>
          <w:tcPr>
            <w:tcW w:w="9640" w:type="dxa"/>
            <w:tcBorders>
              <w:top w:val="nil"/>
              <w:left w:val="single" w:sz="4" w:space="0" w:color="auto"/>
              <w:bottom w:val="single" w:sz="4" w:space="0" w:color="auto"/>
              <w:right w:val="single" w:sz="4" w:space="0" w:color="auto"/>
            </w:tcBorders>
            <w:shd w:val="clear" w:color="auto" w:fill="auto"/>
            <w:noWrap/>
            <w:hideMark/>
          </w:tcPr>
          <w:p w:rsidR="00C01202" w:rsidRPr="00670E5D" w:rsidRDefault="00C01202" w:rsidP="00C93A0E">
            <w:pPr>
              <w:rPr>
                <w:rFonts w:eastAsia="Times New Roman"/>
                <w:color w:val="000000"/>
              </w:rPr>
            </w:pPr>
            <w:r w:rsidRPr="00670E5D">
              <w:rPr>
                <w:rFonts w:eastAsia="Times New Roman"/>
                <w:color w:val="000000"/>
              </w:rPr>
              <w:t>Kenton Kebab House, 130 Kenton Road, Harrow, Middlesex, HA3 8AL</w:t>
            </w:r>
          </w:p>
        </w:tc>
      </w:tr>
      <w:tr w:rsidR="00C01202" w:rsidRPr="00670E5D" w:rsidTr="00C01202">
        <w:trPr>
          <w:trHeight w:val="285"/>
        </w:trPr>
        <w:tc>
          <w:tcPr>
            <w:tcW w:w="9640" w:type="dxa"/>
            <w:tcBorders>
              <w:top w:val="nil"/>
              <w:left w:val="single" w:sz="4" w:space="0" w:color="auto"/>
              <w:bottom w:val="single" w:sz="4" w:space="0" w:color="auto"/>
              <w:right w:val="single" w:sz="4" w:space="0" w:color="auto"/>
            </w:tcBorders>
            <w:shd w:val="clear" w:color="auto" w:fill="auto"/>
            <w:noWrap/>
            <w:hideMark/>
          </w:tcPr>
          <w:p w:rsidR="00C01202" w:rsidRPr="00670E5D" w:rsidRDefault="00C01202" w:rsidP="00C93A0E">
            <w:pPr>
              <w:rPr>
                <w:rFonts w:eastAsia="Times New Roman"/>
                <w:color w:val="000000"/>
              </w:rPr>
            </w:pPr>
            <w:r w:rsidRPr="00670E5D">
              <w:rPr>
                <w:rFonts w:eastAsia="Times New Roman"/>
                <w:color w:val="000000"/>
              </w:rPr>
              <w:t xml:space="preserve">The Kingsfield Arms Public House, 111 </w:t>
            </w:r>
            <w:proofErr w:type="spellStart"/>
            <w:r w:rsidRPr="00670E5D">
              <w:rPr>
                <w:rFonts w:eastAsia="Times New Roman"/>
                <w:color w:val="000000"/>
              </w:rPr>
              <w:t>Bessborough</w:t>
            </w:r>
            <w:proofErr w:type="spellEnd"/>
            <w:r w:rsidRPr="00670E5D">
              <w:rPr>
                <w:rFonts w:eastAsia="Times New Roman"/>
                <w:color w:val="000000"/>
              </w:rPr>
              <w:t xml:space="preserve"> Road, Harrow, Middlesex, HA1 3DF</w:t>
            </w:r>
          </w:p>
        </w:tc>
      </w:tr>
      <w:tr w:rsidR="00C01202" w:rsidRPr="00670E5D" w:rsidTr="00C01202">
        <w:trPr>
          <w:trHeight w:val="285"/>
        </w:trPr>
        <w:tc>
          <w:tcPr>
            <w:tcW w:w="9640" w:type="dxa"/>
            <w:tcBorders>
              <w:top w:val="nil"/>
              <w:left w:val="single" w:sz="4" w:space="0" w:color="auto"/>
              <w:bottom w:val="single" w:sz="4" w:space="0" w:color="auto"/>
              <w:right w:val="single" w:sz="4" w:space="0" w:color="auto"/>
            </w:tcBorders>
            <w:shd w:val="clear" w:color="auto" w:fill="auto"/>
            <w:noWrap/>
            <w:hideMark/>
          </w:tcPr>
          <w:p w:rsidR="00C01202" w:rsidRPr="00670E5D" w:rsidRDefault="00C01202" w:rsidP="00C93A0E">
            <w:pPr>
              <w:rPr>
                <w:rFonts w:eastAsia="Times New Roman"/>
                <w:color w:val="000000"/>
              </w:rPr>
            </w:pPr>
            <w:proofErr w:type="spellStart"/>
            <w:r w:rsidRPr="00670E5D">
              <w:rPr>
                <w:rFonts w:eastAsia="Times New Roman"/>
                <w:color w:val="000000"/>
              </w:rPr>
              <w:t>McCafferty's</w:t>
            </w:r>
            <w:proofErr w:type="spellEnd"/>
            <w:r w:rsidRPr="00670E5D">
              <w:rPr>
                <w:rFonts w:eastAsia="Times New Roman"/>
                <w:color w:val="000000"/>
              </w:rPr>
              <w:t xml:space="preserve"> </w:t>
            </w:r>
            <w:proofErr w:type="spellStart"/>
            <w:r w:rsidRPr="00670E5D">
              <w:rPr>
                <w:rFonts w:eastAsia="Times New Roman"/>
                <w:color w:val="000000"/>
              </w:rPr>
              <w:t>Freehouse</w:t>
            </w:r>
            <w:proofErr w:type="spellEnd"/>
            <w:r w:rsidRPr="00670E5D">
              <w:rPr>
                <w:rFonts w:eastAsia="Times New Roman"/>
                <w:color w:val="000000"/>
              </w:rPr>
              <w:t xml:space="preserve">, 25 </w:t>
            </w:r>
            <w:proofErr w:type="spellStart"/>
            <w:r w:rsidRPr="00670E5D">
              <w:rPr>
                <w:rFonts w:eastAsia="Times New Roman"/>
                <w:color w:val="000000"/>
              </w:rPr>
              <w:t>Broadwalk</w:t>
            </w:r>
            <w:proofErr w:type="spellEnd"/>
            <w:r w:rsidRPr="00670E5D">
              <w:rPr>
                <w:rFonts w:eastAsia="Times New Roman"/>
                <w:color w:val="000000"/>
              </w:rPr>
              <w:t>, Pinner Road, Harrow, Middlesex, HA2 6ED</w:t>
            </w:r>
          </w:p>
        </w:tc>
      </w:tr>
      <w:tr w:rsidR="00C01202" w:rsidRPr="00670E5D" w:rsidTr="00C01202">
        <w:trPr>
          <w:trHeight w:val="285"/>
        </w:trPr>
        <w:tc>
          <w:tcPr>
            <w:tcW w:w="9640" w:type="dxa"/>
            <w:tcBorders>
              <w:top w:val="nil"/>
              <w:left w:val="single" w:sz="4" w:space="0" w:color="auto"/>
              <w:bottom w:val="single" w:sz="4" w:space="0" w:color="auto"/>
              <w:right w:val="single" w:sz="4" w:space="0" w:color="auto"/>
            </w:tcBorders>
            <w:shd w:val="clear" w:color="auto" w:fill="auto"/>
            <w:noWrap/>
            <w:hideMark/>
          </w:tcPr>
          <w:p w:rsidR="00C01202" w:rsidRPr="00670E5D" w:rsidRDefault="00C01202" w:rsidP="00C93A0E">
            <w:pPr>
              <w:rPr>
                <w:rFonts w:eastAsia="Times New Roman"/>
                <w:color w:val="000000"/>
              </w:rPr>
            </w:pPr>
            <w:proofErr w:type="spellStart"/>
            <w:r w:rsidRPr="00670E5D">
              <w:rPr>
                <w:rFonts w:eastAsia="Times New Roman"/>
                <w:color w:val="000000"/>
              </w:rPr>
              <w:t>Dalys</w:t>
            </w:r>
            <w:proofErr w:type="spellEnd"/>
            <w:r w:rsidRPr="00670E5D">
              <w:rPr>
                <w:rFonts w:eastAsia="Times New Roman"/>
                <w:color w:val="000000"/>
              </w:rPr>
              <w:t>, 100 High Street, Wealdstone, Harrow, Middlesex, HA3 7AH</w:t>
            </w:r>
          </w:p>
        </w:tc>
      </w:tr>
      <w:tr w:rsidR="00C01202" w:rsidRPr="00670E5D" w:rsidTr="00C01202">
        <w:trPr>
          <w:trHeight w:val="285"/>
        </w:trPr>
        <w:tc>
          <w:tcPr>
            <w:tcW w:w="9640" w:type="dxa"/>
            <w:tcBorders>
              <w:top w:val="nil"/>
              <w:left w:val="single" w:sz="4" w:space="0" w:color="auto"/>
              <w:bottom w:val="single" w:sz="4" w:space="0" w:color="auto"/>
              <w:right w:val="single" w:sz="4" w:space="0" w:color="auto"/>
            </w:tcBorders>
            <w:shd w:val="clear" w:color="auto" w:fill="auto"/>
            <w:noWrap/>
            <w:hideMark/>
          </w:tcPr>
          <w:p w:rsidR="00C01202" w:rsidRPr="00670E5D" w:rsidRDefault="00C01202" w:rsidP="00C93A0E">
            <w:pPr>
              <w:rPr>
                <w:rFonts w:eastAsia="Times New Roman"/>
                <w:color w:val="000000"/>
              </w:rPr>
            </w:pPr>
            <w:r w:rsidRPr="00670E5D">
              <w:rPr>
                <w:rFonts w:eastAsia="Times New Roman"/>
                <w:color w:val="000000"/>
              </w:rPr>
              <w:t>The New Moon, 25-26 Kenton Park Parade, Kenton Road, Harrow, Middlesex, HA3 8DN</w:t>
            </w:r>
          </w:p>
        </w:tc>
      </w:tr>
      <w:tr w:rsidR="00C01202" w:rsidRPr="00670E5D" w:rsidTr="00C01202">
        <w:trPr>
          <w:trHeight w:val="285"/>
        </w:trPr>
        <w:tc>
          <w:tcPr>
            <w:tcW w:w="9640" w:type="dxa"/>
            <w:tcBorders>
              <w:top w:val="nil"/>
              <w:left w:val="single" w:sz="4" w:space="0" w:color="auto"/>
              <w:bottom w:val="single" w:sz="4" w:space="0" w:color="auto"/>
              <w:right w:val="single" w:sz="4" w:space="0" w:color="auto"/>
            </w:tcBorders>
            <w:shd w:val="clear" w:color="auto" w:fill="auto"/>
            <w:noWrap/>
            <w:hideMark/>
          </w:tcPr>
          <w:p w:rsidR="00C01202" w:rsidRPr="00670E5D" w:rsidRDefault="00C01202" w:rsidP="00C93A0E">
            <w:pPr>
              <w:rPr>
                <w:rFonts w:eastAsia="Times New Roman"/>
                <w:color w:val="000000"/>
              </w:rPr>
            </w:pPr>
            <w:r w:rsidRPr="00670E5D">
              <w:rPr>
                <w:rFonts w:eastAsia="Times New Roman"/>
                <w:color w:val="000000"/>
              </w:rPr>
              <w:t>Nineteen Executive Club, 10 North Parade, Mollison Way, Edgware, Middlesex, HA8 5QH</w:t>
            </w:r>
          </w:p>
        </w:tc>
      </w:tr>
      <w:tr w:rsidR="00C01202" w:rsidRPr="00670E5D" w:rsidTr="00C01202">
        <w:trPr>
          <w:trHeight w:val="285"/>
        </w:trPr>
        <w:tc>
          <w:tcPr>
            <w:tcW w:w="9640" w:type="dxa"/>
            <w:tcBorders>
              <w:top w:val="nil"/>
              <w:left w:val="single" w:sz="4" w:space="0" w:color="auto"/>
              <w:bottom w:val="single" w:sz="4" w:space="0" w:color="auto"/>
              <w:right w:val="single" w:sz="4" w:space="0" w:color="auto"/>
            </w:tcBorders>
            <w:shd w:val="clear" w:color="auto" w:fill="auto"/>
            <w:noWrap/>
            <w:hideMark/>
          </w:tcPr>
          <w:p w:rsidR="00C01202" w:rsidRPr="00670E5D" w:rsidRDefault="00C01202" w:rsidP="00C93A0E">
            <w:pPr>
              <w:rPr>
                <w:rFonts w:eastAsia="Times New Roman"/>
                <w:color w:val="000000"/>
              </w:rPr>
            </w:pPr>
            <w:r w:rsidRPr="00670E5D">
              <w:rPr>
                <w:rFonts w:eastAsia="Times New Roman"/>
                <w:color w:val="000000"/>
              </w:rPr>
              <w:t>The Change of Hart Public House, 21 High Street, Edgware, Middlesex, HA8 7EE</w:t>
            </w:r>
          </w:p>
        </w:tc>
      </w:tr>
      <w:tr w:rsidR="00C01202" w:rsidRPr="00670E5D" w:rsidTr="00C01202">
        <w:trPr>
          <w:trHeight w:val="285"/>
        </w:trPr>
        <w:tc>
          <w:tcPr>
            <w:tcW w:w="9640" w:type="dxa"/>
            <w:tcBorders>
              <w:top w:val="nil"/>
              <w:left w:val="single" w:sz="4" w:space="0" w:color="auto"/>
              <w:bottom w:val="single" w:sz="4" w:space="0" w:color="auto"/>
              <w:right w:val="single" w:sz="4" w:space="0" w:color="auto"/>
            </w:tcBorders>
            <w:shd w:val="clear" w:color="auto" w:fill="auto"/>
            <w:noWrap/>
            <w:hideMark/>
          </w:tcPr>
          <w:p w:rsidR="00C01202" w:rsidRPr="00670E5D" w:rsidRDefault="00C01202" w:rsidP="00C93A0E">
            <w:pPr>
              <w:rPr>
                <w:rFonts w:eastAsia="Times New Roman"/>
                <w:color w:val="000000"/>
              </w:rPr>
            </w:pPr>
            <w:r w:rsidRPr="00670E5D">
              <w:rPr>
                <w:rFonts w:eastAsia="Times New Roman"/>
                <w:color w:val="000000"/>
              </w:rPr>
              <w:t xml:space="preserve">Royal Oak, Public House, 86 St </w:t>
            </w:r>
            <w:proofErr w:type="spellStart"/>
            <w:r w:rsidRPr="00670E5D">
              <w:rPr>
                <w:rFonts w:eastAsia="Times New Roman"/>
                <w:color w:val="000000"/>
              </w:rPr>
              <w:t>Anns</w:t>
            </w:r>
            <w:proofErr w:type="spellEnd"/>
            <w:r w:rsidRPr="00670E5D">
              <w:rPr>
                <w:rFonts w:eastAsia="Times New Roman"/>
                <w:color w:val="000000"/>
              </w:rPr>
              <w:t xml:space="preserve"> Road, Harrow, Middlesex, HA1 1JP</w:t>
            </w:r>
          </w:p>
        </w:tc>
      </w:tr>
      <w:tr w:rsidR="00C01202" w:rsidRPr="00670E5D" w:rsidTr="00C01202">
        <w:trPr>
          <w:trHeight w:val="285"/>
        </w:trPr>
        <w:tc>
          <w:tcPr>
            <w:tcW w:w="9640" w:type="dxa"/>
            <w:tcBorders>
              <w:top w:val="nil"/>
              <w:left w:val="single" w:sz="4" w:space="0" w:color="auto"/>
              <w:bottom w:val="single" w:sz="4" w:space="0" w:color="auto"/>
              <w:right w:val="single" w:sz="4" w:space="0" w:color="auto"/>
            </w:tcBorders>
            <w:shd w:val="clear" w:color="auto" w:fill="auto"/>
            <w:noWrap/>
            <w:hideMark/>
          </w:tcPr>
          <w:p w:rsidR="00C01202" w:rsidRPr="00670E5D" w:rsidRDefault="00C01202" w:rsidP="00C93A0E">
            <w:pPr>
              <w:rPr>
                <w:rFonts w:eastAsia="Times New Roman"/>
                <w:color w:val="000000"/>
              </w:rPr>
            </w:pPr>
            <w:r w:rsidRPr="00670E5D">
              <w:rPr>
                <w:rFonts w:eastAsia="Times New Roman"/>
                <w:color w:val="000000"/>
              </w:rPr>
              <w:t>O'Neill's PH, 335-339 Station Road, Harrow, Middlesex, HA1 2AA</w:t>
            </w:r>
          </w:p>
        </w:tc>
      </w:tr>
      <w:tr w:rsidR="00C01202" w:rsidRPr="00670E5D" w:rsidTr="00C01202">
        <w:trPr>
          <w:trHeight w:val="285"/>
        </w:trPr>
        <w:tc>
          <w:tcPr>
            <w:tcW w:w="9640" w:type="dxa"/>
            <w:tcBorders>
              <w:top w:val="nil"/>
              <w:left w:val="single" w:sz="4" w:space="0" w:color="auto"/>
              <w:bottom w:val="single" w:sz="4" w:space="0" w:color="auto"/>
              <w:right w:val="single" w:sz="4" w:space="0" w:color="auto"/>
            </w:tcBorders>
            <w:shd w:val="clear" w:color="auto" w:fill="auto"/>
            <w:noWrap/>
            <w:hideMark/>
          </w:tcPr>
          <w:p w:rsidR="00C01202" w:rsidRPr="00670E5D" w:rsidRDefault="00C01202" w:rsidP="00C93A0E">
            <w:pPr>
              <w:rPr>
                <w:rFonts w:eastAsia="Times New Roman"/>
                <w:color w:val="000000"/>
              </w:rPr>
            </w:pPr>
            <w:r w:rsidRPr="00670E5D">
              <w:rPr>
                <w:rFonts w:eastAsia="Times New Roman"/>
                <w:color w:val="000000"/>
              </w:rPr>
              <w:t>The Moon On The Hill, Lynwood House, 373-375 Station Road, Harrow, Middlesex, HA1 2AW</w:t>
            </w:r>
          </w:p>
        </w:tc>
      </w:tr>
      <w:tr w:rsidR="00C01202" w:rsidRPr="00670E5D" w:rsidTr="00C01202">
        <w:trPr>
          <w:trHeight w:val="285"/>
        </w:trPr>
        <w:tc>
          <w:tcPr>
            <w:tcW w:w="9640" w:type="dxa"/>
            <w:tcBorders>
              <w:top w:val="nil"/>
              <w:left w:val="single" w:sz="4" w:space="0" w:color="auto"/>
              <w:bottom w:val="single" w:sz="4" w:space="0" w:color="auto"/>
              <w:right w:val="single" w:sz="4" w:space="0" w:color="auto"/>
            </w:tcBorders>
            <w:shd w:val="clear" w:color="auto" w:fill="auto"/>
            <w:noWrap/>
            <w:hideMark/>
          </w:tcPr>
          <w:p w:rsidR="00C01202" w:rsidRPr="00670E5D" w:rsidRDefault="00C01202" w:rsidP="00C93A0E">
            <w:pPr>
              <w:rPr>
                <w:rFonts w:eastAsia="Times New Roman"/>
                <w:color w:val="000000"/>
              </w:rPr>
            </w:pPr>
            <w:r w:rsidRPr="00670E5D">
              <w:rPr>
                <w:rFonts w:eastAsia="Times New Roman"/>
                <w:color w:val="000000"/>
              </w:rPr>
              <w:t xml:space="preserve">The Junction PH, </w:t>
            </w:r>
            <w:proofErr w:type="spellStart"/>
            <w:r w:rsidRPr="00670E5D">
              <w:rPr>
                <w:rFonts w:eastAsia="Times New Roman"/>
                <w:color w:val="000000"/>
              </w:rPr>
              <w:t>Gayton</w:t>
            </w:r>
            <w:proofErr w:type="spellEnd"/>
            <w:r w:rsidRPr="00670E5D">
              <w:rPr>
                <w:rFonts w:eastAsia="Times New Roman"/>
                <w:color w:val="000000"/>
              </w:rPr>
              <w:t xml:space="preserve"> Hall, 9 </w:t>
            </w:r>
            <w:proofErr w:type="spellStart"/>
            <w:r w:rsidRPr="00670E5D">
              <w:rPr>
                <w:rFonts w:eastAsia="Times New Roman"/>
                <w:color w:val="000000"/>
              </w:rPr>
              <w:t>Gayton</w:t>
            </w:r>
            <w:proofErr w:type="spellEnd"/>
            <w:r w:rsidRPr="00670E5D">
              <w:rPr>
                <w:rFonts w:eastAsia="Times New Roman"/>
                <w:color w:val="000000"/>
              </w:rPr>
              <w:t xml:space="preserve"> Road, Harrow, Middlesex, HA1 2JG</w:t>
            </w:r>
          </w:p>
        </w:tc>
      </w:tr>
      <w:tr w:rsidR="00C01202" w:rsidRPr="00670E5D" w:rsidTr="00C01202">
        <w:trPr>
          <w:trHeight w:val="285"/>
        </w:trPr>
        <w:tc>
          <w:tcPr>
            <w:tcW w:w="9640" w:type="dxa"/>
            <w:tcBorders>
              <w:top w:val="nil"/>
              <w:left w:val="single" w:sz="4" w:space="0" w:color="auto"/>
              <w:bottom w:val="single" w:sz="4" w:space="0" w:color="auto"/>
              <w:right w:val="single" w:sz="4" w:space="0" w:color="auto"/>
            </w:tcBorders>
            <w:shd w:val="clear" w:color="auto" w:fill="auto"/>
            <w:noWrap/>
            <w:hideMark/>
          </w:tcPr>
          <w:p w:rsidR="00C01202" w:rsidRPr="00670E5D" w:rsidRDefault="00C01202" w:rsidP="00C93A0E">
            <w:pPr>
              <w:rPr>
                <w:rFonts w:eastAsia="Times New Roman"/>
                <w:color w:val="000000"/>
              </w:rPr>
            </w:pPr>
            <w:r w:rsidRPr="00670E5D">
              <w:rPr>
                <w:rFonts w:eastAsia="Times New Roman"/>
                <w:color w:val="000000"/>
              </w:rPr>
              <w:t>The Harrow, 269-271 Station Road, Harrow, Middlesex, HA1 2TB</w:t>
            </w:r>
          </w:p>
        </w:tc>
      </w:tr>
      <w:tr w:rsidR="00C01202" w:rsidRPr="00670E5D" w:rsidTr="00C01202">
        <w:trPr>
          <w:trHeight w:val="285"/>
        </w:trPr>
        <w:tc>
          <w:tcPr>
            <w:tcW w:w="9640" w:type="dxa"/>
            <w:tcBorders>
              <w:top w:val="nil"/>
              <w:left w:val="single" w:sz="4" w:space="0" w:color="auto"/>
              <w:bottom w:val="single" w:sz="4" w:space="0" w:color="auto"/>
              <w:right w:val="single" w:sz="4" w:space="0" w:color="auto"/>
            </w:tcBorders>
            <w:shd w:val="clear" w:color="auto" w:fill="auto"/>
            <w:noWrap/>
            <w:hideMark/>
          </w:tcPr>
          <w:p w:rsidR="00C01202" w:rsidRPr="00670E5D" w:rsidRDefault="00C01202" w:rsidP="00C93A0E">
            <w:pPr>
              <w:rPr>
                <w:rFonts w:eastAsia="Times New Roman"/>
                <w:color w:val="000000"/>
              </w:rPr>
            </w:pPr>
            <w:r w:rsidRPr="00670E5D">
              <w:rPr>
                <w:rFonts w:eastAsia="Times New Roman"/>
                <w:color w:val="000000"/>
              </w:rPr>
              <w:t>The White Horse, 50 Middle Road, Harrow, Middlesex, HA2 0HL</w:t>
            </w:r>
          </w:p>
        </w:tc>
      </w:tr>
      <w:tr w:rsidR="00C01202" w:rsidRPr="00670E5D" w:rsidTr="00C01202">
        <w:trPr>
          <w:trHeight w:val="285"/>
        </w:trPr>
        <w:tc>
          <w:tcPr>
            <w:tcW w:w="9640" w:type="dxa"/>
            <w:tcBorders>
              <w:top w:val="nil"/>
              <w:left w:val="single" w:sz="4" w:space="0" w:color="auto"/>
              <w:bottom w:val="single" w:sz="4" w:space="0" w:color="auto"/>
              <w:right w:val="single" w:sz="4" w:space="0" w:color="auto"/>
            </w:tcBorders>
            <w:shd w:val="clear" w:color="auto" w:fill="auto"/>
            <w:noWrap/>
            <w:hideMark/>
          </w:tcPr>
          <w:p w:rsidR="00C01202" w:rsidRPr="00670E5D" w:rsidRDefault="00C01202" w:rsidP="00C93A0E">
            <w:pPr>
              <w:rPr>
                <w:rFonts w:eastAsia="Times New Roman"/>
                <w:color w:val="000000"/>
              </w:rPr>
            </w:pPr>
            <w:r w:rsidRPr="00670E5D">
              <w:rPr>
                <w:rFonts w:eastAsia="Times New Roman"/>
                <w:color w:val="000000"/>
              </w:rPr>
              <w:t>The Star Public House, 2 South Hill Avenue, Harrow, Middlesex, HA2 0NQ</w:t>
            </w:r>
          </w:p>
        </w:tc>
      </w:tr>
      <w:tr w:rsidR="00C01202" w:rsidRPr="00670E5D" w:rsidTr="00C01202">
        <w:trPr>
          <w:trHeight w:val="285"/>
        </w:trPr>
        <w:tc>
          <w:tcPr>
            <w:tcW w:w="9640" w:type="dxa"/>
            <w:tcBorders>
              <w:top w:val="nil"/>
              <w:left w:val="single" w:sz="4" w:space="0" w:color="auto"/>
              <w:bottom w:val="single" w:sz="4" w:space="0" w:color="auto"/>
              <w:right w:val="single" w:sz="4" w:space="0" w:color="auto"/>
            </w:tcBorders>
            <w:shd w:val="clear" w:color="auto" w:fill="auto"/>
            <w:noWrap/>
            <w:hideMark/>
          </w:tcPr>
          <w:p w:rsidR="00C01202" w:rsidRPr="00670E5D" w:rsidRDefault="00C01202" w:rsidP="00C93A0E">
            <w:pPr>
              <w:rPr>
                <w:rFonts w:eastAsia="Times New Roman"/>
                <w:color w:val="000000"/>
              </w:rPr>
            </w:pPr>
            <w:r w:rsidRPr="00670E5D">
              <w:rPr>
                <w:rFonts w:eastAsia="Times New Roman"/>
                <w:color w:val="000000"/>
              </w:rPr>
              <w:t>The Horseshoe Bar, 326-326A Eastcote Lane, South Harrow, Middlesex, HA2 9AJ</w:t>
            </w:r>
          </w:p>
        </w:tc>
      </w:tr>
      <w:tr w:rsidR="00C01202" w:rsidRPr="00670E5D" w:rsidTr="00C01202">
        <w:trPr>
          <w:trHeight w:val="285"/>
        </w:trPr>
        <w:tc>
          <w:tcPr>
            <w:tcW w:w="9640" w:type="dxa"/>
            <w:tcBorders>
              <w:top w:val="nil"/>
              <w:left w:val="single" w:sz="4" w:space="0" w:color="auto"/>
              <w:bottom w:val="single" w:sz="4" w:space="0" w:color="auto"/>
              <w:right w:val="single" w:sz="4" w:space="0" w:color="auto"/>
            </w:tcBorders>
            <w:shd w:val="clear" w:color="auto" w:fill="auto"/>
            <w:noWrap/>
            <w:hideMark/>
          </w:tcPr>
          <w:p w:rsidR="00C01202" w:rsidRPr="00670E5D" w:rsidRDefault="00C01202" w:rsidP="00C93A0E">
            <w:pPr>
              <w:rPr>
                <w:rFonts w:eastAsia="Times New Roman"/>
                <w:color w:val="000000"/>
              </w:rPr>
            </w:pPr>
            <w:r w:rsidRPr="00670E5D">
              <w:rPr>
                <w:rFonts w:eastAsia="Times New Roman"/>
                <w:color w:val="000000"/>
              </w:rPr>
              <w:t>The Laurels, 337 High Road, Harrow, Middlesex, HA3 5EQ</w:t>
            </w:r>
          </w:p>
        </w:tc>
      </w:tr>
      <w:tr w:rsidR="00C01202" w:rsidRPr="00670E5D" w:rsidTr="00C01202">
        <w:trPr>
          <w:trHeight w:val="285"/>
        </w:trPr>
        <w:tc>
          <w:tcPr>
            <w:tcW w:w="9640" w:type="dxa"/>
            <w:tcBorders>
              <w:top w:val="nil"/>
              <w:left w:val="single" w:sz="4" w:space="0" w:color="auto"/>
              <w:bottom w:val="single" w:sz="4" w:space="0" w:color="auto"/>
              <w:right w:val="single" w:sz="4" w:space="0" w:color="auto"/>
            </w:tcBorders>
            <w:shd w:val="clear" w:color="auto" w:fill="auto"/>
            <w:noWrap/>
            <w:hideMark/>
          </w:tcPr>
          <w:p w:rsidR="00C01202" w:rsidRPr="00670E5D" w:rsidRDefault="00C01202" w:rsidP="00C93A0E">
            <w:pPr>
              <w:rPr>
                <w:rFonts w:eastAsia="Times New Roman"/>
                <w:color w:val="000000"/>
              </w:rPr>
            </w:pPr>
            <w:r w:rsidRPr="00670E5D">
              <w:rPr>
                <w:rFonts w:eastAsia="Times New Roman"/>
                <w:color w:val="000000"/>
              </w:rPr>
              <w:t>Duck In The Pond Public House, 660 Kenton Lane, Harrow, Middlesex, HA3 6AA</w:t>
            </w:r>
          </w:p>
        </w:tc>
      </w:tr>
      <w:tr w:rsidR="00C01202" w:rsidRPr="00670E5D" w:rsidTr="00C01202">
        <w:trPr>
          <w:trHeight w:val="285"/>
        </w:trPr>
        <w:tc>
          <w:tcPr>
            <w:tcW w:w="9640" w:type="dxa"/>
            <w:tcBorders>
              <w:top w:val="nil"/>
              <w:left w:val="single" w:sz="4" w:space="0" w:color="auto"/>
              <w:bottom w:val="single" w:sz="4" w:space="0" w:color="auto"/>
              <w:right w:val="single" w:sz="4" w:space="0" w:color="auto"/>
            </w:tcBorders>
            <w:shd w:val="clear" w:color="auto" w:fill="auto"/>
            <w:noWrap/>
            <w:hideMark/>
          </w:tcPr>
          <w:p w:rsidR="00C01202" w:rsidRPr="00670E5D" w:rsidRDefault="00C01202" w:rsidP="00C93A0E">
            <w:pPr>
              <w:rPr>
                <w:rFonts w:eastAsia="Times New Roman"/>
                <w:color w:val="000000"/>
              </w:rPr>
            </w:pPr>
            <w:r w:rsidRPr="00670E5D">
              <w:rPr>
                <w:rFonts w:eastAsia="Times New Roman"/>
                <w:color w:val="000000"/>
              </w:rPr>
              <w:t xml:space="preserve">Miller &amp; Carter, </w:t>
            </w:r>
            <w:proofErr w:type="spellStart"/>
            <w:r w:rsidRPr="00670E5D">
              <w:rPr>
                <w:rFonts w:eastAsia="Times New Roman"/>
                <w:color w:val="000000"/>
              </w:rPr>
              <w:t>Leefe</w:t>
            </w:r>
            <w:proofErr w:type="spellEnd"/>
            <w:r w:rsidRPr="00670E5D">
              <w:rPr>
                <w:rFonts w:eastAsia="Times New Roman"/>
                <w:color w:val="000000"/>
              </w:rPr>
              <w:t xml:space="preserve"> Robinson, 76 Uxbridge Road, Harrow Weald, Harrow, Middlesex, HA3 6DL</w:t>
            </w:r>
          </w:p>
        </w:tc>
      </w:tr>
      <w:tr w:rsidR="00C01202" w:rsidRPr="00670E5D" w:rsidTr="00C01202">
        <w:trPr>
          <w:trHeight w:val="285"/>
        </w:trPr>
        <w:tc>
          <w:tcPr>
            <w:tcW w:w="9640" w:type="dxa"/>
            <w:tcBorders>
              <w:top w:val="nil"/>
              <w:left w:val="single" w:sz="4" w:space="0" w:color="auto"/>
              <w:bottom w:val="single" w:sz="4" w:space="0" w:color="auto"/>
              <w:right w:val="single" w:sz="4" w:space="0" w:color="auto"/>
            </w:tcBorders>
            <w:shd w:val="clear" w:color="auto" w:fill="auto"/>
            <w:noWrap/>
            <w:hideMark/>
          </w:tcPr>
          <w:p w:rsidR="00C01202" w:rsidRPr="00670E5D" w:rsidRDefault="00C01202" w:rsidP="00C93A0E">
            <w:pPr>
              <w:rPr>
                <w:rFonts w:eastAsia="Times New Roman"/>
                <w:color w:val="000000"/>
              </w:rPr>
            </w:pPr>
            <w:r w:rsidRPr="00670E5D">
              <w:rPr>
                <w:rFonts w:eastAsia="Times New Roman"/>
                <w:color w:val="000000"/>
              </w:rPr>
              <w:t xml:space="preserve">Oddfellows Arms PH, 2 </w:t>
            </w:r>
            <w:proofErr w:type="spellStart"/>
            <w:r w:rsidRPr="00670E5D">
              <w:rPr>
                <w:rFonts w:eastAsia="Times New Roman"/>
                <w:color w:val="000000"/>
              </w:rPr>
              <w:t>Waxwell</w:t>
            </w:r>
            <w:proofErr w:type="spellEnd"/>
            <w:r w:rsidRPr="00670E5D">
              <w:rPr>
                <w:rFonts w:eastAsia="Times New Roman"/>
                <w:color w:val="000000"/>
              </w:rPr>
              <w:t xml:space="preserve"> Lane, Pinner, Middlesex, HA5 3EN</w:t>
            </w:r>
          </w:p>
        </w:tc>
      </w:tr>
      <w:tr w:rsidR="00C01202" w:rsidRPr="00670E5D" w:rsidTr="00C01202">
        <w:trPr>
          <w:trHeight w:val="285"/>
        </w:trPr>
        <w:tc>
          <w:tcPr>
            <w:tcW w:w="9640" w:type="dxa"/>
            <w:tcBorders>
              <w:top w:val="nil"/>
              <w:left w:val="single" w:sz="4" w:space="0" w:color="auto"/>
              <w:bottom w:val="single" w:sz="4" w:space="0" w:color="auto"/>
              <w:right w:val="single" w:sz="4" w:space="0" w:color="auto"/>
            </w:tcBorders>
            <w:shd w:val="clear" w:color="auto" w:fill="auto"/>
            <w:noWrap/>
            <w:hideMark/>
          </w:tcPr>
          <w:p w:rsidR="00C01202" w:rsidRPr="00670E5D" w:rsidRDefault="00C01202" w:rsidP="00C93A0E">
            <w:pPr>
              <w:rPr>
                <w:rFonts w:eastAsia="Times New Roman"/>
                <w:color w:val="000000"/>
              </w:rPr>
            </w:pPr>
            <w:r w:rsidRPr="00670E5D">
              <w:rPr>
                <w:rFonts w:eastAsia="Times New Roman"/>
                <w:color w:val="000000"/>
              </w:rPr>
              <w:t>The Moon And Sixpence PH, 250 Uxbridge Road, Hatch End, Pinner, Middlesex, HA5 4NY</w:t>
            </w:r>
          </w:p>
        </w:tc>
      </w:tr>
      <w:tr w:rsidR="00C01202" w:rsidRPr="00670E5D" w:rsidTr="00C01202">
        <w:trPr>
          <w:trHeight w:val="285"/>
        </w:trPr>
        <w:tc>
          <w:tcPr>
            <w:tcW w:w="9640" w:type="dxa"/>
            <w:tcBorders>
              <w:top w:val="nil"/>
              <w:left w:val="single" w:sz="4" w:space="0" w:color="auto"/>
              <w:bottom w:val="single" w:sz="4" w:space="0" w:color="auto"/>
              <w:right w:val="single" w:sz="4" w:space="0" w:color="auto"/>
            </w:tcBorders>
            <w:shd w:val="clear" w:color="auto" w:fill="auto"/>
            <w:noWrap/>
            <w:hideMark/>
          </w:tcPr>
          <w:p w:rsidR="00C01202" w:rsidRPr="00670E5D" w:rsidRDefault="00C01202" w:rsidP="00C93A0E">
            <w:pPr>
              <w:rPr>
                <w:rFonts w:eastAsia="Times New Roman"/>
                <w:color w:val="000000"/>
              </w:rPr>
            </w:pPr>
            <w:r w:rsidRPr="00670E5D">
              <w:rPr>
                <w:rFonts w:eastAsia="Times New Roman"/>
                <w:color w:val="000000"/>
              </w:rPr>
              <w:t>Village Inn, Village Inn, 402-408 Rayners Lane, Harrow, Middlesex, HA5 5DY</w:t>
            </w:r>
          </w:p>
        </w:tc>
      </w:tr>
      <w:tr w:rsidR="00C01202" w:rsidRPr="00670E5D" w:rsidTr="00C01202">
        <w:trPr>
          <w:trHeight w:val="285"/>
        </w:trPr>
        <w:tc>
          <w:tcPr>
            <w:tcW w:w="9640" w:type="dxa"/>
            <w:tcBorders>
              <w:top w:val="nil"/>
              <w:left w:val="single" w:sz="4" w:space="0" w:color="auto"/>
              <w:bottom w:val="single" w:sz="4" w:space="0" w:color="auto"/>
              <w:right w:val="single" w:sz="4" w:space="0" w:color="auto"/>
            </w:tcBorders>
            <w:shd w:val="clear" w:color="auto" w:fill="auto"/>
            <w:noWrap/>
            <w:hideMark/>
          </w:tcPr>
          <w:p w:rsidR="00C01202" w:rsidRPr="00670E5D" w:rsidRDefault="00C01202" w:rsidP="00C93A0E">
            <w:pPr>
              <w:rPr>
                <w:rFonts w:eastAsia="Times New Roman"/>
                <w:color w:val="000000"/>
              </w:rPr>
            </w:pPr>
            <w:r w:rsidRPr="00670E5D">
              <w:rPr>
                <w:rFonts w:eastAsia="Times New Roman"/>
                <w:color w:val="000000"/>
              </w:rPr>
              <w:t>The Pinner Arms, The Pinner Arms Public House, Whittington Way, Pinner, Middlesex, HA5 5JS</w:t>
            </w:r>
          </w:p>
        </w:tc>
      </w:tr>
      <w:tr w:rsidR="00C01202" w:rsidRPr="00670E5D" w:rsidTr="00C01202">
        <w:trPr>
          <w:trHeight w:val="285"/>
        </w:trPr>
        <w:tc>
          <w:tcPr>
            <w:tcW w:w="9640" w:type="dxa"/>
            <w:tcBorders>
              <w:top w:val="nil"/>
              <w:left w:val="single" w:sz="4" w:space="0" w:color="auto"/>
              <w:bottom w:val="single" w:sz="4" w:space="0" w:color="auto"/>
              <w:right w:val="single" w:sz="4" w:space="0" w:color="auto"/>
            </w:tcBorders>
            <w:shd w:val="clear" w:color="auto" w:fill="auto"/>
            <w:noWrap/>
            <w:hideMark/>
          </w:tcPr>
          <w:p w:rsidR="00C01202" w:rsidRPr="00670E5D" w:rsidRDefault="00C01202" w:rsidP="00C93A0E">
            <w:pPr>
              <w:rPr>
                <w:rFonts w:eastAsia="Times New Roman"/>
                <w:color w:val="000000"/>
              </w:rPr>
            </w:pPr>
            <w:r w:rsidRPr="00670E5D">
              <w:rPr>
                <w:rFonts w:eastAsia="Times New Roman"/>
                <w:color w:val="000000"/>
              </w:rPr>
              <w:t>The Queens Head Public House, 31 High Street, Pinner, Middlesex, HA5 5PJ</w:t>
            </w:r>
          </w:p>
        </w:tc>
      </w:tr>
    </w:tbl>
    <w:p w:rsidR="00C01202" w:rsidRPr="00670E5D" w:rsidRDefault="00C01202" w:rsidP="00C01202">
      <w:pPr>
        <w:pStyle w:val="BodyText"/>
        <w:rPr>
          <w:lang w:val="en-GB"/>
        </w:rPr>
      </w:pPr>
    </w:p>
    <w:p w:rsidR="00C01202" w:rsidRPr="00670E5D" w:rsidRDefault="00C01202" w:rsidP="00C01202">
      <w:pPr>
        <w:pStyle w:val="BodyText"/>
        <w:rPr>
          <w:b/>
          <w:lang w:val="en-GB"/>
        </w:rPr>
      </w:pPr>
      <w:r w:rsidRPr="00670E5D">
        <w:rPr>
          <w:b/>
          <w:lang w:val="en-GB"/>
        </w:rPr>
        <w:t>LOTTERIES:</w:t>
      </w:r>
    </w:p>
    <w:p w:rsidR="00C01202" w:rsidRPr="00670E5D" w:rsidRDefault="00C01202" w:rsidP="00C01202">
      <w:pPr>
        <w:pStyle w:val="BodyText"/>
        <w:rPr>
          <w:lang w:val="en-GB"/>
        </w:rPr>
      </w:pPr>
    </w:p>
    <w:tbl>
      <w:tblPr>
        <w:tblW w:w="5305" w:type="pct"/>
        <w:tblInd w:w="-396" w:type="dxa"/>
        <w:tblCellMar>
          <w:left w:w="30" w:type="dxa"/>
          <w:right w:w="30" w:type="dxa"/>
        </w:tblCellMar>
        <w:tblLook w:val="0000" w:firstRow="0" w:lastRow="0" w:firstColumn="0" w:lastColumn="0" w:noHBand="0" w:noVBand="0"/>
      </w:tblPr>
      <w:tblGrid>
        <w:gridCol w:w="9640"/>
      </w:tblGrid>
      <w:tr w:rsidR="00C01202" w:rsidRPr="00670E5D" w:rsidTr="00C01202">
        <w:trPr>
          <w:trHeight w:val="274"/>
        </w:trPr>
        <w:tc>
          <w:tcPr>
            <w:tcW w:w="5000" w:type="pct"/>
            <w:tcBorders>
              <w:top w:val="nil"/>
              <w:left w:val="nil"/>
              <w:bottom w:val="nil"/>
              <w:right w:val="nil"/>
            </w:tcBorders>
          </w:tcPr>
          <w:p w:rsidR="00C01202" w:rsidRPr="00670E5D" w:rsidRDefault="00C01202" w:rsidP="00C93A0E">
            <w:pPr>
              <w:adjustRightInd w:val="0"/>
              <w:rPr>
                <w:color w:val="000000"/>
              </w:rPr>
            </w:pPr>
            <w:r w:rsidRPr="00670E5D">
              <w:rPr>
                <w:color w:val="000000"/>
              </w:rPr>
              <w:t>St Joseph's Church, 191 High Road, Harrow, Middlesex, HA3 5EE.</w:t>
            </w:r>
          </w:p>
        </w:tc>
      </w:tr>
      <w:tr w:rsidR="00C01202" w:rsidRPr="00670E5D" w:rsidTr="00C01202">
        <w:trPr>
          <w:trHeight w:val="274"/>
        </w:trPr>
        <w:tc>
          <w:tcPr>
            <w:tcW w:w="5000" w:type="pct"/>
            <w:tcBorders>
              <w:top w:val="nil"/>
              <w:left w:val="nil"/>
              <w:bottom w:val="nil"/>
              <w:right w:val="nil"/>
            </w:tcBorders>
          </w:tcPr>
          <w:p w:rsidR="00C01202" w:rsidRPr="00670E5D" w:rsidRDefault="00C01202" w:rsidP="00C93A0E">
            <w:pPr>
              <w:adjustRightInd w:val="0"/>
              <w:rPr>
                <w:color w:val="000000"/>
              </w:rPr>
            </w:pPr>
            <w:r w:rsidRPr="00670E5D">
              <w:rPr>
                <w:color w:val="000000"/>
              </w:rPr>
              <w:t xml:space="preserve">Harrow </w:t>
            </w:r>
            <w:proofErr w:type="spellStart"/>
            <w:r w:rsidRPr="00670E5D">
              <w:rPr>
                <w:color w:val="000000"/>
              </w:rPr>
              <w:t>Mencap</w:t>
            </w:r>
            <w:proofErr w:type="spellEnd"/>
            <w:r w:rsidRPr="00670E5D">
              <w:rPr>
                <w:color w:val="000000"/>
              </w:rPr>
              <w:t xml:space="preserve">, 3 Jardine House, </w:t>
            </w:r>
            <w:proofErr w:type="spellStart"/>
            <w:r w:rsidRPr="00670E5D">
              <w:rPr>
                <w:color w:val="000000"/>
              </w:rPr>
              <w:t>Bessborough</w:t>
            </w:r>
            <w:proofErr w:type="spellEnd"/>
            <w:r w:rsidRPr="00670E5D">
              <w:rPr>
                <w:color w:val="000000"/>
              </w:rPr>
              <w:t xml:space="preserve"> Road, Harrow, Middlesex, HA1 3EX.</w:t>
            </w:r>
          </w:p>
        </w:tc>
      </w:tr>
      <w:tr w:rsidR="00C01202" w:rsidRPr="00670E5D" w:rsidTr="00C01202">
        <w:trPr>
          <w:trHeight w:val="274"/>
        </w:trPr>
        <w:tc>
          <w:tcPr>
            <w:tcW w:w="5000" w:type="pct"/>
            <w:tcBorders>
              <w:top w:val="nil"/>
              <w:left w:val="nil"/>
              <w:bottom w:val="nil"/>
              <w:right w:val="nil"/>
            </w:tcBorders>
          </w:tcPr>
          <w:p w:rsidR="00C01202" w:rsidRPr="00670E5D" w:rsidRDefault="00C01202" w:rsidP="00C93A0E">
            <w:pPr>
              <w:adjustRightInd w:val="0"/>
              <w:rPr>
                <w:color w:val="000000"/>
              </w:rPr>
            </w:pPr>
            <w:proofErr w:type="spellStart"/>
            <w:r w:rsidRPr="00670E5D">
              <w:rPr>
                <w:color w:val="000000"/>
              </w:rPr>
              <w:t>Longfield</w:t>
            </w:r>
            <w:proofErr w:type="spellEnd"/>
            <w:r w:rsidRPr="00670E5D">
              <w:rPr>
                <w:color w:val="000000"/>
              </w:rPr>
              <w:t xml:space="preserve"> First &amp; Middle School, </w:t>
            </w:r>
            <w:proofErr w:type="spellStart"/>
            <w:r w:rsidRPr="00670E5D">
              <w:rPr>
                <w:color w:val="000000"/>
              </w:rPr>
              <w:t>Longfield</w:t>
            </w:r>
            <w:proofErr w:type="spellEnd"/>
            <w:r w:rsidRPr="00670E5D">
              <w:rPr>
                <w:color w:val="000000"/>
              </w:rPr>
              <w:t xml:space="preserve"> First And Middle School, Dukes Avenue, North Harrow, Middlesex, HA2 7NZ.</w:t>
            </w:r>
          </w:p>
        </w:tc>
      </w:tr>
      <w:tr w:rsidR="00C01202" w:rsidRPr="00670E5D" w:rsidTr="00C01202">
        <w:trPr>
          <w:trHeight w:val="274"/>
        </w:trPr>
        <w:tc>
          <w:tcPr>
            <w:tcW w:w="5000" w:type="pct"/>
            <w:tcBorders>
              <w:top w:val="nil"/>
              <w:left w:val="nil"/>
              <w:bottom w:val="nil"/>
              <w:right w:val="nil"/>
            </w:tcBorders>
          </w:tcPr>
          <w:p w:rsidR="00C01202" w:rsidRPr="00670E5D" w:rsidRDefault="00C01202" w:rsidP="00C93A0E">
            <w:pPr>
              <w:adjustRightInd w:val="0"/>
              <w:rPr>
                <w:color w:val="000000"/>
              </w:rPr>
            </w:pPr>
            <w:r w:rsidRPr="00670E5D">
              <w:rPr>
                <w:color w:val="000000"/>
              </w:rPr>
              <w:t xml:space="preserve">20 </w:t>
            </w:r>
            <w:proofErr w:type="spellStart"/>
            <w:r w:rsidRPr="00670E5D">
              <w:rPr>
                <w:color w:val="000000"/>
              </w:rPr>
              <w:t>Longcrofte</w:t>
            </w:r>
            <w:proofErr w:type="spellEnd"/>
            <w:r w:rsidRPr="00670E5D">
              <w:rPr>
                <w:color w:val="000000"/>
              </w:rPr>
              <w:t xml:space="preserve"> Road, Edgware, Middlesex, HA8 6RR.</w:t>
            </w:r>
          </w:p>
        </w:tc>
      </w:tr>
      <w:tr w:rsidR="00C01202" w:rsidRPr="00670E5D" w:rsidTr="00C01202">
        <w:trPr>
          <w:trHeight w:val="274"/>
        </w:trPr>
        <w:tc>
          <w:tcPr>
            <w:tcW w:w="5000" w:type="pct"/>
            <w:tcBorders>
              <w:top w:val="nil"/>
              <w:left w:val="nil"/>
              <w:bottom w:val="nil"/>
              <w:right w:val="nil"/>
            </w:tcBorders>
          </w:tcPr>
          <w:p w:rsidR="00C01202" w:rsidRPr="00670E5D" w:rsidRDefault="00C01202" w:rsidP="00C93A0E">
            <w:pPr>
              <w:adjustRightInd w:val="0"/>
              <w:rPr>
                <w:color w:val="000000"/>
              </w:rPr>
            </w:pPr>
            <w:r w:rsidRPr="00670E5D">
              <w:rPr>
                <w:color w:val="000000"/>
              </w:rPr>
              <w:t xml:space="preserve">Cannon Lane Primary School, Cannon Lane School, </w:t>
            </w:r>
            <w:proofErr w:type="spellStart"/>
            <w:r w:rsidRPr="00670E5D">
              <w:rPr>
                <w:color w:val="000000"/>
              </w:rPr>
              <w:t>Cannonbury</w:t>
            </w:r>
            <w:proofErr w:type="spellEnd"/>
            <w:r w:rsidRPr="00670E5D">
              <w:rPr>
                <w:color w:val="000000"/>
              </w:rPr>
              <w:t xml:space="preserve"> Avenue, Pinner, Middlesex, HA5 1TS.</w:t>
            </w:r>
          </w:p>
        </w:tc>
      </w:tr>
      <w:tr w:rsidR="00C01202" w:rsidRPr="00670E5D" w:rsidTr="00C01202">
        <w:trPr>
          <w:trHeight w:val="274"/>
        </w:trPr>
        <w:tc>
          <w:tcPr>
            <w:tcW w:w="5000" w:type="pct"/>
            <w:tcBorders>
              <w:top w:val="nil"/>
              <w:left w:val="nil"/>
              <w:bottom w:val="nil"/>
              <w:right w:val="nil"/>
            </w:tcBorders>
          </w:tcPr>
          <w:p w:rsidR="00C01202" w:rsidRPr="00670E5D" w:rsidRDefault="00C01202" w:rsidP="00C93A0E">
            <w:pPr>
              <w:adjustRightInd w:val="0"/>
              <w:rPr>
                <w:color w:val="000000"/>
              </w:rPr>
            </w:pPr>
            <w:r w:rsidRPr="00670E5D">
              <w:rPr>
                <w:color w:val="000000"/>
              </w:rPr>
              <w:t>Social Club, Royal National Orthopaedic Hospital, Brockley Hill, Stanmore, Middlesex, HA7 4LP.</w:t>
            </w:r>
          </w:p>
        </w:tc>
      </w:tr>
      <w:tr w:rsidR="00C01202" w:rsidRPr="00670E5D" w:rsidTr="00C01202">
        <w:trPr>
          <w:trHeight w:val="274"/>
        </w:trPr>
        <w:tc>
          <w:tcPr>
            <w:tcW w:w="5000" w:type="pct"/>
            <w:tcBorders>
              <w:top w:val="nil"/>
              <w:left w:val="nil"/>
              <w:bottom w:val="nil"/>
              <w:right w:val="nil"/>
            </w:tcBorders>
          </w:tcPr>
          <w:p w:rsidR="00C01202" w:rsidRPr="00670E5D" w:rsidRDefault="00C01202" w:rsidP="00C93A0E">
            <w:pPr>
              <w:adjustRightInd w:val="0"/>
              <w:rPr>
                <w:color w:val="000000"/>
              </w:rPr>
            </w:pPr>
            <w:r w:rsidRPr="00670E5D">
              <w:rPr>
                <w:color w:val="000000"/>
              </w:rPr>
              <w:t>Sri &amp; Co Accountants Ltd, Cunningham House, 19 Westfield Lane, Harrow, Middlesex, HA3 9ED.</w:t>
            </w:r>
          </w:p>
        </w:tc>
      </w:tr>
      <w:tr w:rsidR="00C01202" w:rsidRPr="00670E5D" w:rsidTr="00C01202">
        <w:trPr>
          <w:trHeight w:val="274"/>
        </w:trPr>
        <w:tc>
          <w:tcPr>
            <w:tcW w:w="5000" w:type="pct"/>
            <w:tcBorders>
              <w:top w:val="nil"/>
              <w:left w:val="nil"/>
              <w:bottom w:val="nil"/>
              <w:right w:val="nil"/>
            </w:tcBorders>
          </w:tcPr>
          <w:p w:rsidR="00C01202" w:rsidRPr="00670E5D" w:rsidRDefault="00C01202" w:rsidP="00C93A0E">
            <w:pPr>
              <w:adjustRightInd w:val="0"/>
              <w:rPr>
                <w:color w:val="000000"/>
              </w:rPr>
            </w:pPr>
            <w:r w:rsidRPr="00670E5D">
              <w:rPr>
                <w:color w:val="000000"/>
              </w:rPr>
              <w:t xml:space="preserve">St Williams RC Church 1791 </w:t>
            </w:r>
            <w:proofErr w:type="spellStart"/>
            <w:r w:rsidRPr="00670E5D">
              <w:rPr>
                <w:color w:val="000000"/>
              </w:rPr>
              <w:t>Nw</w:t>
            </w:r>
            <w:proofErr w:type="spellEnd"/>
            <w:r w:rsidRPr="00670E5D">
              <w:rPr>
                <w:color w:val="000000"/>
              </w:rPr>
              <w:t xml:space="preserve">, St Williams Church, Du </w:t>
            </w:r>
            <w:proofErr w:type="spellStart"/>
            <w:r w:rsidRPr="00670E5D">
              <w:rPr>
                <w:color w:val="000000"/>
              </w:rPr>
              <w:t>Cros</w:t>
            </w:r>
            <w:proofErr w:type="spellEnd"/>
            <w:r w:rsidRPr="00670E5D">
              <w:rPr>
                <w:color w:val="000000"/>
              </w:rPr>
              <w:t xml:space="preserve"> Drive, Stanmore, Middlesex, HA7 4TJ.</w:t>
            </w:r>
          </w:p>
        </w:tc>
      </w:tr>
      <w:tr w:rsidR="00C01202" w:rsidRPr="00670E5D" w:rsidTr="00C01202">
        <w:trPr>
          <w:trHeight w:val="274"/>
        </w:trPr>
        <w:tc>
          <w:tcPr>
            <w:tcW w:w="5000" w:type="pct"/>
            <w:tcBorders>
              <w:top w:val="nil"/>
              <w:left w:val="nil"/>
              <w:bottom w:val="nil"/>
              <w:right w:val="nil"/>
            </w:tcBorders>
          </w:tcPr>
          <w:p w:rsidR="00C01202" w:rsidRPr="00670E5D" w:rsidRDefault="00C01202" w:rsidP="00C93A0E">
            <w:pPr>
              <w:adjustRightInd w:val="0"/>
              <w:rPr>
                <w:color w:val="000000"/>
              </w:rPr>
            </w:pPr>
            <w:proofErr w:type="spellStart"/>
            <w:r w:rsidRPr="00670E5D">
              <w:rPr>
                <w:color w:val="000000"/>
              </w:rPr>
              <w:t>Roxeth</w:t>
            </w:r>
            <w:proofErr w:type="spellEnd"/>
            <w:r w:rsidRPr="00670E5D">
              <w:rPr>
                <w:color w:val="000000"/>
              </w:rPr>
              <w:t xml:space="preserve"> School Association, </w:t>
            </w:r>
            <w:proofErr w:type="spellStart"/>
            <w:r w:rsidRPr="00670E5D">
              <w:rPr>
                <w:color w:val="000000"/>
              </w:rPr>
              <w:t>Roxeth</w:t>
            </w:r>
            <w:proofErr w:type="spellEnd"/>
            <w:r w:rsidRPr="00670E5D">
              <w:rPr>
                <w:color w:val="000000"/>
              </w:rPr>
              <w:t xml:space="preserve"> Primary School, Brickfields, Harrow, Middlesex, HA2 0JA.</w:t>
            </w:r>
          </w:p>
        </w:tc>
      </w:tr>
      <w:tr w:rsidR="00C01202" w:rsidRPr="00670E5D" w:rsidTr="00C01202">
        <w:trPr>
          <w:trHeight w:val="274"/>
        </w:trPr>
        <w:tc>
          <w:tcPr>
            <w:tcW w:w="5000" w:type="pct"/>
            <w:tcBorders>
              <w:top w:val="nil"/>
              <w:left w:val="nil"/>
              <w:bottom w:val="nil"/>
              <w:right w:val="nil"/>
            </w:tcBorders>
          </w:tcPr>
          <w:p w:rsidR="00C01202" w:rsidRPr="00670E5D" w:rsidRDefault="00C01202" w:rsidP="00C93A0E">
            <w:pPr>
              <w:adjustRightInd w:val="0"/>
              <w:rPr>
                <w:color w:val="000000"/>
              </w:rPr>
            </w:pPr>
            <w:r w:rsidRPr="00670E5D">
              <w:rPr>
                <w:color w:val="000000"/>
              </w:rPr>
              <w:t>Royal National Orthopaedic Hospital, The Disability Foundation, Royal National Orthopaedic Hospital NHS Trust, Brockley Hill, Stanmore, Middlesex.</w:t>
            </w:r>
          </w:p>
        </w:tc>
      </w:tr>
      <w:tr w:rsidR="00C01202" w:rsidRPr="00670E5D" w:rsidTr="00C01202">
        <w:trPr>
          <w:trHeight w:val="274"/>
        </w:trPr>
        <w:tc>
          <w:tcPr>
            <w:tcW w:w="5000" w:type="pct"/>
            <w:tcBorders>
              <w:top w:val="nil"/>
              <w:left w:val="nil"/>
              <w:bottom w:val="nil"/>
              <w:right w:val="nil"/>
            </w:tcBorders>
          </w:tcPr>
          <w:p w:rsidR="00C01202" w:rsidRPr="00670E5D" w:rsidRDefault="00C01202" w:rsidP="00C93A0E">
            <w:pPr>
              <w:adjustRightInd w:val="0"/>
              <w:rPr>
                <w:color w:val="000000"/>
              </w:rPr>
            </w:pPr>
            <w:r w:rsidRPr="00670E5D">
              <w:rPr>
                <w:color w:val="000000"/>
              </w:rPr>
              <w:t xml:space="preserve">Friends of </w:t>
            </w:r>
            <w:proofErr w:type="spellStart"/>
            <w:r w:rsidRPr="00670E5D">
              <w:rPr>
                <w:color w:val="000000"/>
              </w:rPr>
              <w:t>Grimsdyke</w:t>
            </w:r>
            <w:proofErr w:type="spellEnd"/>
            <w:r w:rsidRPr="00670E5D">
              <w:rPr>
                <w:color w:val="000000"/>
              </w:rPr>
              <w:t xml:space="preserve"> School, </w:t>
            </w:r>
            <w:proofErr w:type="spellStart"/>
            <w:r w:rsidRPr="00670E5D">
              <w:rPr>
                <w:color w:val="000000"/>
              </w:rPr>
              <w:t>Grimsdyke</w:t>
            </w:r>
            <w:proofErr w:type="spellEnd"/>
            <w:r w:rsidRPr="00670E5D">
              <w:rPr>
                <w:color w:val="000000"/>
              </w:rPr>
              <w:t xml:space="preserve"> First And Middle School, Sylvia Avenue, Pinner, Middlesex, HA5 4QE.</w:t>
            </w:r>
          </w:p>
        </w:tc>
      </w:tr>
      <w:tr w:rsidR="00C01202" w:rsidRPr="00670E5D" w:rsidTr="00C01202">
        <w:trPr>
          <w:trHeight w:val="274"/>
        </w:trPr>
        <w:tc>
          <w:tcPr>
            <w:tcW w:w="5000" w:type="pct"/>
            <w:tcBorders>
              <w:top w:val="nil"/>
              <w:left w:val="nil"/>
              <w:bottom w:val="nil"/>
              <w:right w:val="nil"/>
            </w:tcBorders>
          </w:tcPr>
          <w:p w:rsidR="00C01202" w:rsidRPr="00670E5D" w:rsidRDefault="00C01202" w:rsidP="00C93A0E">
            <w:pPr>
              <w:adjustRightInd w:val="0"/>
              <w:rPr>
                <w:color w:val="000000"/>
              </w:rPr>
            </w:pPr>
            <w:r w:rsidRPr="00670E5D">
              <w:rPr>
                <w:color w:val="000000"/>
              </w:rPr>
              <w:t>North London Collegiate School, Canons Drive, Edgware, Middlesex, HA8 7RJ.</w:t>
            </w:r>
          </w:p>
        </w:tc>
      </w:tr>
      <w:tr w:rsidR="00C01202" w:rsidRPr="00670E5D" w:rsidTr="00C01202">
        <w:trPr>
          <w:trHeight w:val="274"/>
        </w:trPr>
        <w:tc>
          <w:tcPr>
            <w:tcW w:w="5000" w:type="pct"/>
            <w:tcBorders>
              <w:top w:val="nil"/>
              <w:left w:val="nil"/>
              <w:bottom w:val="nil"/>
              <w:right w:val="nil"/>
            </w:tcBorders>
          </w:tcPr>
          <w:p w:rsidR="00C01202" w:rsidRPr="00670E5D" w:rsidRDefault="00C01202" w:rsidP="00C93A0E">
            <w:pPr>
              <w:adjustRightInd w:val="0"/>
              <w:rPr>
                <w:color w:val="000000"/>
              </w:rPr>
            </w:pPr>
            <w:r w:rsidRPr="00670E5D">
              <w:rPr>
                <w:color w:val="000000"/>
              </w:rPr>
              <w:t>St Albans Church Hall, Norwood Drive, Harrow, Middlesex, HA2 7PF.</w:t>
            </w:r>
          </w:p>
        </w:tc>
      </w:tr>
      <w:tr w:rsidR="00C01202" w:rsidRPr="00670E5D" w:rsidTr="00C01202">
        <w:trPr>
          <w:trHeight w:val="274"/>
        </w:trPr>
        <w:tc>
          <w:tcPr>
            <w:tcW w:w="5000" w:type="pct"/>
            <w:tcBorders>
              <w:top w:val="nil"/>
              <w:left w:val="nil"/>
              <w:bottom w:val="nil"/>
              <w:right w:val="nil"/>
            </w:tcBorders>
          </w:tcPr>
          <w:p w:rsidR="00C01202" w:rsidRPr="00670E5D" w:rsidRDefault="00C01202" w:rsidP="00C93A0E">
            <w:pPr>
              <w:adjustRightInd w:val="0"/>
              <w:rPr>
                <w:color w:val="000000"/>
              </w:rPr>
            </w:pPr>
            <w:r w:rsidRPr="00670E5D">
              <w:rPr>
                <w:color w:val="000000"/>
              </w:rPr>
              <w:t>21 Manor Road, Harrow, Middlesex, HA1 2PF.</w:t>
            </w:r>
          </w:p>
        </w:tc>
      </w:tr>
      <w:tr w:rsidR="00C01202" w:rsidRPr="00670E5D" w:rsidTr="00C01202">
        <w:trPr>
          <w:trHeight w:val="274"/>
        </w:trPr>
        <w:tc>
          <w:tcPr>
            <w:tcW w:w="5000" w:type="pct"/>
            <w:tcBorders>
              <w:top w:val="nil"/>
              <w:left w:val="nil"/>
              <w:bottom w:val="nil"/>
              <w:right w:val="nil"/>
            </w:tcBorders>
          </w:tcPr>
          <w:p w:rsidR="00C01202" w:rsidRPr="00670E5D" w:rsidRDefault="00C01202" w:rsidP="00C93A0E">
            <w:pPr>
              <w:adjustRightInd w:val="0"/>
              <w:rPr>
                <w:color w:val="000000"/>
              </w:rPr>
            </w:pPr>
            <w:proofErr w:type="spellStart"/>
            <w:r w:rsidRPr="00670E5D">
              <w:rPr>
                <w:color w:val="000000"/>
              </w:rPr>
              <w:t>Whitefriars</w:t>
            </w:r>
            <w:proofErr w:type="spellEnd"/>
            <w:r w:rsidRPr="00670E5D">
              <w:rPr>
                <w:color w:val="000000"/>
              </w:rPr>
              <w:t xml:space="preserve"> School, </w:t>
            </w:r>
            <w:proofErr w:type="spellStart"/>
            <w:r w:rsidRPr="00670E5D">
              <w:rPr>
                <w:color w:val="000000"/>
              </w:rPr>
              <w:t>Whitefriars</w:t>
            </w:r>
            <w:proofErr w:type="spellEnd"/>
            <w:r w:rsidRPr="00670E5D">
              <w:rPr>
                <w:color w:val="000000"/>
              </w:rPr>
              <w:t xml:space="preserve"> Avenue, Harrow, Middlesex, HA3 5RQ.</w:t>
            </w:r>
          </w:p>
        </w:tc>
      </w:tr>
      <w:tr w:rsidR="00C01202" w:rsidRPr="00670E5D" w:rsidTr="00C01202">
        <w:trPr>
          <w:trHeight w:val="274"/>
        </w:trPr>
        <w:tc>
          <w:tcPr>
            <w:tcW w:w="5000" w:type="pct"/>
            <w:tcBorders>
              <w:top w:val="nil"/>
              <w:left w:val="nil"/>
              <w:bottom w:val="nil"/>
              <w:right w:val="nil"/>
            </w:tcBorders>
          </w:tcPr>
          <w:p w:rsidR="00C01202" w:rsidRPr="00670E5D" w:rsidRDefault="00C01202" w:rsidP="00C93A0E">
            <w:pPr>
              <w:adjustRightInd w:val="0"/>
              <w:rPr>
                <w:color w:val="000000"/>
              </w:rPr>
            </w:pPr>
            <w:r w:rsidRPr="00670E5D">
              <w:rPr>
                <w:color w:val="000000"/>
              </w:rPr>
              <w:t xml:space="preserve">St Teresa's RC First &amp; Middle School, Long </w:t>
            </w:r>
            <w:proofErr w:type="spellStart"/>
            <w:r w:rsidRPr="00670E5D">
              <w:rPr>
                <w:color w:val="000000"/>
              </w:rPr>
              <w:t>Elmes</w:t>
            </w:r>
            <w:proofErr w:type="spellEnd"/>
            <w:r w:rsidRPr="00670E5D">
              <w:rPr>
                <w:color w:val="000000"/>
              </w:rPr>
              <w:t>, Harrow Weald, Harrow, Middlesex, HA3 6LE.</w:t>
            </w:r>
          </w:p>
        </w:tc>
      </w:tr>
      <w:tr w:rsidR="00C01202" w:rsidRPr="00670E5D" w:rsidTr="00C01202">
        <w:trPr>
          <w:trHeight w:val="274"/>
        </w:trPr>
        <w:tc>
          <w:tcPr>
            <w:tcW w:w="5000" w:type="pct"/>
            <w:tcBorders>
              <w:top w:val="nil"/>
              <w:left w:val="nil"/>
              <w:bottom w:val="nil"/>
              <w:right w:val="nil"/>
            </w:tcBorders>
          </w:tcPr>
          <w:p w:rsidR="00C01202" w:rsidRPr="00670E5D" w:rsidRDefault="00C01202" w:rsidP="00C93A0E">
            <w:pPr>
              <w:adjustRightInd w:val="0"/>
              <w:rPr>
                <w:color w:val="000000"/>
              </w:rPr>
            </w:pPr>
            <w:r w:rsidRPr="00670E5D">
              <w:rPr>
                <w:color w:val="000000"/>
              </w:rPr>
              <w:lastRenderedPageBreak/>
              <w:t xml:space="preserve">St </w:t>
            </w:r>
            <w:proofErr w:type="spellStart"/>
            <w:r w:rsidRPr="00670E5D">
              <w:rPr>
                <w:color w:val="000000"/>
              </w:rPr>
              <w:t>Anselms</w:t>
            </w:r>
            <w:proofErr w:type="spellEnd"/>
            <w:r w:rsidRPr="00670E5D">
              <w:rPr>
                <w:color w:val="000000"/>
              </w:rPr>
              <w:t xml:space="preserve"> First and Middle School, Saint </w:t>
            </w:r>
            <w:proofErr w:type="spellStart"/>
            <w:r w:rsidRPr="00670E5D">
              <w:rPr>
                <w:color w:val="000000"/>
              </w:rPr>
              <w:t>Anselms</w:t>
            </w:r>
            <w:proofErr w:type="spellEnd"/>
            <w:r w:rsidRPr="00670E5D">
              <w:rPr>
                <w:color w:val="000000"/>
              </w:rPr>
              <w:t xml:space="preserve"> School, </w:t>
            </w:r>
            <w:proofErr w:type="spellStart"/>
            <w:r w:rsidRPr="00670E5D">
              <w:rPr>
                <w:color w:val="000000"/>
              </w:rPr>
              <w:t>Roxborough</w:t>
            </w:r>
            <w:proofErr w:type="spellEnd"/>
            <w:r w:rsidRPr="00670E5D">
              <w:rPr>
                <w:color w:val="000000"/>
              </w:rPr>
              <w:t xml:space="preserve"> Park, Harrow, Middlesex, HA1 3BE.</w:t>
            </w:r>
          </w:p>
        </w:tc>
      </w:tr>
      <w:tr w:rsidR="00C01202" w:rsidRPr="00670E5D" w:rsidTr="00C01202">
        <w:trPr>
          <w:trHeight w:val="274"/>
        </w:trPr>
        <w:tc>
          <w:tcPr>
            <w:tcW w:w="5000" w:type="pct"/>
            <w:tcBorders>
              <w:top w:val="nil"/>
              <w:left w:val="nil"/>
              <w:bottom w:val="nil"/>
              <w:right w:val="nil"/>
            </w:tcBorders>
          </w:tcPr>
          <w:p w:rsidR="00C01202" w:rsidRPr="00670E5D" w:rsidRDefault="00C01202" w:rsidP="00C93A0E">
            <w:pPr>
              <w:adjustRightInd w:val="0"/>
              <w:rPr>
                <w:color w:val="000000"/>
              </w:rPr>
            </w:pPr>
            <w:r w:rsidRPr="00670E5D">
              <w:rPr>
                <w:color w:val="000000"/>
              </w:rPr>
              <w:t>St Jerome C of E Bilingual School, 120-138 Station Road, Harrow, Middlesex, HA1 2DJ.</w:t>
            </w:r>
          </w:p>
        </w:tc>
      </w:tr>
      <w:tr w:rsidR="00C01202" w:rsidRPr="00670E5D" w:rsidTr="00C01202">
        <w:trPr>
          <w:trHeight w:val="274"/>
        </w:trPr>
        <w:tc>
          <w:tcPr>
            <w:tcW w:w="5000" w:type="pct"/>
            <w:tcBorders>
              <w:top w:val="nil"/>
              <w:left w:val="nil"/>
              <w:bottom w:val="nil"/>
              <w:right w:val="nil"/>
            </w:tcBorders>
          </w:tcPr>
          <w:p w:rsidR="00C01202" w:rsidRPr="00670E5D" w:rsidRDefault="00C01202" w:rsidP="00C93A0E">
            <w:pPr>
              <w:adjustRightInd w:val="0"/>
              <w:rPr>
                <w:color w:val="000000"/>
              </w:rPr>
            </w:pPr>
            <w:r w:rsidRPr="00670E5D">
              <w:rPr>
                <w:color w:val="000000"/>
              </w:rPr>
              <w:t xml:space="preserve">Aspire National Training Centre, Royal National Orthopaedic Hospital </w:t>
            </w:r>
            <w:proofErr w:type="spellStart"/>
            <w:r w:rsidRPr="00670E5D">
              <w:rPr>
                <w:color w:val="000000"/>
              </w:rPr>
              <w:t>Nhs</w:t>
            </w:r>
            <w:proofErr w:type="spellEnd"/>
            <w:r w:rsidRPr="00670E5D">
              <w:rPr>
                <w:color w:val="000000"/>
              </w:rPr>
              <w:t xml:space="preserve"> Trust, Wood Lane, Stanmore, Middlesex, HA7 4AP.</w:t>
            </w:r>
          </w:p>
        </w:tc>
      </w:tr>
      <w:tr w:rsidR="00C01202" w:rsidRPr="00670E5D" w:rsidTr="00C01202">
        <w:trPr>
          <w:trHeight w:val="274"/>
        </w:trPr>
        <w:tc>
          <w:tcPr>
            <w:tcW w:w="5000" w:type="pct"/>
            <w:tcBorders>
              <w:top w:val="nil"/>
              <w:left w:val="nil"/>
              <w:bottom w:val="nil"/>
              <w:right w:val="nil"/>
            </w:tcBorders>
          </w:tcPr>
          <w:p w:rsidR="00C01202" w:rsidRPr="00670E5D" w:rsidRDefault="00C01202" w:rsidP="00C93A0E">
            <w:pPr>
              <w:adjustRightInd w:val="0"/>
              <w:rPr>
                <w:color w:val="000000"/>
              </w:rPr>
            </w:pPr>
            <w:r w:rsidRPr="00670E5D">
              <w:rPr>
                <w:color w:val="000000"/>
              </w:rPr>
              <w:t>17 Rochester Drive, Pinner, Middlesex, HA5 1DA.</w:t>
            </w:r>
          </w:p>
        </w:tc>
      </w:tr>
      <w:tr w:rsidR="00C01202" w:rsidRPr="00670E5D" w:rsidTr="00C01202">
        <w:trPr>
          <w:trHeight w:val="274"/>
        </w:trPr>
        <w:tc>
          <w:tcPr>
            <w:tcW w:w="5000" w:type="pct"/>
            <w:tcBorders>
              <w:top w:val="nil"/>
              <w:left w:val="nil"/>
              <w:bottom w:val="nil"/>
              <w:right w:val="nil"/>
            </w:tcBorders>
          </w:tcPr>
          <w:p w:rsidR="00C01202" w:rsidRPr="00670E5D" w:rsidRDefault="00C01202" w:rsidP="00C93A0E">
            <w:pPr>
              <w:adjustRightInd w:val="0"/>
              <w:rPr>
                <w:color w:val="000000"/>
              </w:rPr>
            </w:pPr>
            <w:r w:rsidRPr="00670E5D">
              <w:rPr>
                <w:color w:val="000000"/>
              </w:rPr>
              <w:t>Vaughan Primary School, The Gardens, West Harrow, Harrow, HA1 4EL.</w:t>
            </w:r>
          </w:p>
        </w:tc>
      </w:tr>
      <w:tr w:rsidR="00C01202" w:rsidRPr="00670E5D" w:rsidTr="00C01202">
        <w:trPr>
          <w:trHeight w:val="274"/>
        </w:trPr>
        <w:tc>
          <w:tcPr>
            <w:tcW w:w="5000" w:type="pct"/>
            <w:tcBorders>
              <w:top w:val="nil"/>
              <w:left w:val="nil"/>
              <w:bottom w:val="nil"/>
              <w:right w:val="nil"/>
            </w:tcBorders>
          </w:tcPr>
          <w:p w:rsidR="00C01202" w:rsidRPr="00670E5D" w:rsidRDefault="00C01202" w:rsidP="00C93A0E">
            <w:pPr>
              <w:adjustRightInd w:val="0"/>
              <w:rPr>
                <w:color w:val="000000"/>
              </w:rPr>
            </w:pPr>
            <w:r w:rsidRPr="00670E5D">
              <w:rPr>
                <w:color w:val="000000"/>
              </w:rPr>
              <w:t xml:space="preserve">Harrow Borough Football Club, </w:t>
            </w:r>
            <w:proofErr w:type="spellStart"/>
            <w:r w:rsidRPr="00670E5D">
              <w:rPr>
                <w:color w:val="000000"/>
              </w:rPr>
              <w:t>Earlsmead</w:t>
            </w:r>
            <w:proofErr w:type="spellEnd"/>
            <w:r w:rsidRPr="00670E5D">
              <w:rPr>
                <w:color w:val="000000"/>
              </w:rPr>
              <w:t>, Harrow, Middlesex, HA2 8SS.</w:t>
            </w:r>
          </w:p>
        </w:tc>
      </w:tr>
      <w:tr w:rsidR="00C01202" w:rsidRPr="00670E5D" w:rsidTr="00C01202">
        <w:trPr>
          <w:trHeight w:val="274"/>
        </w:trPr>
        <w:tc>
          <w:tcPr>
            <w:tcW w:w="5000" w:type="pct"/>
            <w:tcBorders>
              <w:top w:val="nil"/>
              <w:left w:val="nil"/>
              <w:bottom w:val="nil"/>
              <w:right w:val="nil"/>
            </w:tcBorders>
          </w:tcPr>
          <w:p w:rsidR="00C01202" w:rsidRPr="00670E5D" w:rsidRDefault="00C01202" w:rsidP="00C93A0E">
            <w:pPr>
              <w:adjustRightInd w:val="0"/>
              <w:rPr>
                <w:color w:val="000000"/>
              </w:rPr>
            </w:pPr>
            <w:r w:rsidRPr="00670E5D">
              <w:rPr>
                <w:color w:val="000000"/>
              </w:rPr>
              <w:t>New Bentley N R C, Harrow Council, 184A Christchurch Avenue, Harrow, Middlesex, HA3 5BD.</w:t>
            </w:r>
          </w:p>
        </w:tc>
      </w:tr>
      <w:tr w:rsidR="00C01202" w:rsidRPr="00670E5D" w:rsidTr="00C01202">
        <w:trPr>
          <w:trHeight w:val="274"/>
        </w:trPr>
        <w:tc>
          <w:tcPr>
            <w:tcW w:w="5000" w:type="pct"/>
            <w:tcBorders>
              <w:top w:val="nil"/>
              <w:left w:val="nil"/>
              <w:bottom w:val="nil"/>
              <w:right w:val="nil"/>
            </w:tcBorders>
          </w:tcPr>
          <w:p w:rsidR="00C01202" w:rsidRPr="00670E5D" w:rsidRDefault="00C01202" w:rsidP="00C93A0E">
            <w:pPr>
              <w:adjustRightInd w:val="0"/>
              <w:rPr>
                <w:color w:val="000000"/>
              </w:rPr>
            </w:pPr>
            <w:r w:rsidRPr="00670E5D">
              <w:rPr>
                <w:color w:val="000000"/>
              </w:rPr>
              <w:t xml:space="preserve">Harrow West Conservative Association, 10 Village Way, Pinner, </w:t>
            </w:r>
            <w:proofErr w:type="gramStart"/>
            <w:r w:rsidRPr="00670E5D">
              <w:rPr>
                <w:color w:val="000000"/>
              </w:rPr>
              <w:t>Middlesex</w:t>
            </w:r>
            <w:proofErr w:type="gramEnd"/>
            <w:r w:rsidRPr="00670E5D">
              <w:rPr>
                <w:color w:val="000000"/>
              </w:rPr>
              <w:t>, HA5 5AF.</w:t>
            </w:r>
          </w:p>
        </w:tc>
      </w:tr>
      <w:tr w:rsidR="00C01202" w:rsidRPr="00670E5D" w:rsidTr="00C01202">
        <w:trPr>
          <w:trHeight w:val="274"/>
        </w:trPr>
        <w:tc>
          <w:tcPr>
            <w:tcW w:w="5000" w:type="pct"/>
            <w:tcBorders>
              <w:top w:val="nil"/>
              <w:left w:val="nil"/>
              <w:bottom w:val="nil"/>
              <w:right w:val="nil"/>
            </w:tcBorders>
          </w:tcPr>
          <w:p w:rsidR="00C01202" w:rsidRPr="00670E5D" w:rsidRDefault="00C01202" w:rsidP="00C93A0E">
            <w:pPr>
              <w:adjustRightInd w:val="0"/>
              <w:rPr>
                <w:color w:val="000000"/>
              </w:rPr>
            </w:pPr>
            <w:r w:rsidRPr="00670E5D">
              <w:rPr>
                <w:color w:val="000000"/>
              </w:rPr>
              <w:t>Pinner Wood School, Latimer Gardens, Pinner, Middlesex, HA5 3RA.</w:t>
            </w:r>
          </w:p>
        </w:tc>
      </w:tr>
      <w:tr w:rsidR="00C01202" w:rsidRPr="00670E5D" w:rsidTr="00C01202">
        <w:trPr>
          <w:trHeight w:val="274"/>
        </w:trPr>
        <w:tc>
          <w:tcPr>
            <w:tcW w:w="5000" w:type="pct"/>
            <w:tcBorders>
              <w:top w:val="nil"/>
              <w:left w:val="nil"/>
              <w:bottom w:val="nil"/>
              <w:right w:val="nil"/>
            </w:tcBorders>
          </w:tcPr>
          <w:p w:rsidR="00C01202" w:rsidRPr="00670E5D" w:rsidRDefault="00C01202" w:rsidP="00C93A0E">
            <w:pPr>
              <w:adjustRightInd w:val="0"/>
              <w:rPr>
                <w:color w:val="000000"/>
              </w:rPr>
            </w:pPr>
            <w:r w:rsidRPr="00670E5D">
              <w:rPr>
                <w:color w:val="000000"/>
              </w:rPr>
              <w:t>Stag Lane First School, Stag Lane School, Collier Drive, Edgware, Middlesex, HA8 5RU.</w:t>
            </w:r>
          </w:p>
        </w:tc>
      </w:tr>
      <w:tr w:rsidR="00C01202" w:rsidRPr="00670E5D" w:rsidTr="00C01202">
        <w:trPr>
          <w:trHeight w:val="274"/>
        </w:trPr>
        <w:tc>
          <w:tcPr>
            <w:tcW w:w="5000" w:type="pct"/>
            <w:tcBorders>
              <w:top w:val="nil"/>
              <w:left w:val="nil"/>
              <w:bottom w:val="nil"/>
              <w:right w:val="nil"/>
            </w:tcBorders>
          </w:tcPr>
          <w:p w:rsidR="00C01202" w:rsidRPr="00670E5D" w:rsidRDefault="00C01202" w:rsidP="00C93A0E">
            <w:pPr>
              <w:adjustRightInd w:val="0"/>
              <w:rPr>
                <w:color w:val="000000"/>
              </w:rPr>
            </w:pPr>
            <w:r w:rsidRPr="00670E5D">
              <w:rPr>
                <w:color w:val="000000"/>
              </w:rPr>
              <w:t>Pinner Park First &amp; Middle School, Pinner Park County First And Middle School, Melbourne Avenue, Pinner, Middlesex, HA5 5TJ.</w:t>
            </w:r>
          </w:p>
        </w:tc>
      </w:tr>
      <w:tr w:rsidR="00C01202" w:rsidRPr="00670E5D" w:rsidTr="00C01202">
        <w:trPr>
          <w:trHeight w:val="274"/>
        </w:trPr>
        <w:tc>
          <w:tcPr>
            <w:tcW w:w="5000" w:type="pct"/>
            <w:tcBorders>
              <w:top w:val="nil"/>
              <w:left w:val="nil"/>
              <w:bottom w:val="nil"/>
              <w:right w:val="nil"/>
            </w:tcBorders>
          </w:tcPr>
          <w:p w:rsidR="00C01202" w:rsidRPr="00670E5D" w:rsidRDefault="00C01202" w:rsidP="00C93A0E">
            <w:pPr>
              <w:adjustRightInd w:val="0"/>
              <w:rPr>
                <w:color w:val="000000"/>
              </w:rPr>
            </w:pPr>
            <w:proofErr w:type="spellStart"/>
            <w:r w:rsidRPr="00670E5D">
              <w:rPr>
                <w:color w:val="000000"/>
              </w:rPr>
              <w:t>Aylward</w:t>
            </w:r>
            <w:proofErr w:type="spellEnd"/>
            <w:r w:rsidRPr="00670E5D">
              <w:rPr>
                <w:color w:val="000000"/>
              </w:rPr>
              <w:t xml:space="preserve"> Primary School, </w:t>
            </w:r>
            <w:proofErr w:type="spellStart"/>
            <w:r w:rsidRPr="00670E5D">
              <w:rPr>
                <w:color w:val="000000"/>
              </w:rPr>
              <w:t>Aylward</w:t>
            </w:r>
            <w:proofErr w:type="spellEnd"/>
            <w:r w:rsidRPr="00670E5D">
              <w:rPr>
                <w:color w:val="000000"/>
              </w:rPr>
              <w:t xml:space="preserve"> First &amp; Middle School, </w:t>
            </w:r>
            <w:proofErr w:type="spellStart"/>
            <w:r w:rsidRPr="00670E5D">
              <w:rPr>
                <w:color w:val="000000"/>
              </w:rPr>
              <w:t>Pangbourne</w:t>
            </w:r>
            <w:proofErr w:type="spellEnd"/>
            <w:r w:rsidRPr="00670E5D">
              <w:rPr>
                <w:color w:val="000000"/>
              </w:rPr>
              <w:t xml:space="preserve"> Drive, Stanmore, Middlesex, HA7 4RE.</w:t>
            </w:r>
          </w:p>
        </w:tc>
      </w:tr>
    </w:tbl>
    <w:p w:rsidR="00C01202" w:rsidRPr="00670E5D" w:rsidRDefault="00C01202" w:rsidP="00C01202">
      <w:pPr>
        <w:pStyle w:val="BodyText"/>
        <w:rPr>
          <w:lang w:val="en-GB"/>
        </w:rPr>
      </w:pPr>
    </w:p>
    <w:p w:rsidR="00C01202" w:rsidRPr="00670E5D" w:rsidRDefault="00C01202" w:rsidP="00C01202">
      <w:pPr>
        <w:pStyle w:val="BodyText"/>
        <w:spacing w:before="1"/>
        <w:ind w:left="851"/>
        <w:jc w:val="both"/>
      </w:pPr>
    </w:p>
    <w:p w:rsidR="00511231" w:rsidRPr="00FB7C4A" w:rsidRDefault="00511231" w:rsidP="00511231">
      <w:pPr>
        <w:pStyle w:val="BodyText"/>
      </w:pPr>
    </w:p>
    <w:p w:rsidR="00511231" w:rsidRPr="00FB7C4A" w:rsidRDefault="00511231" w:rsidP="00511231">
      <w:pPr>
        <w:rPr>
          <w:rFonts w:ascii="Arial" w:hAnsi="Arial" w:cs="Arial"/>
        </w:rPr>
      </w:pPr>
    </w:p>
    <w:p w:rsidR="00511231" w:rsidRDefault="00511231">
      <w:pPr>
        <w:rPr>
          <w:rFonts w:ascii="Arial" w:hAnsi="Arial" w:cs="Arial"/>
        </w:rPr>
      </w:pPr>
    </w:p>
    <w:p w:rsidR="00C01202" w:rsidRDefault="00C01202">
      <w:pPr>
        <w:rPr>
          <w:rFonts w:ascii="Arial" w:hAnsi="Arial" w:cs="Arial"/>
        </w:rPr>
      </w:pPr>
    </w:p>
    <w:p w:rsidR="00C01202" w:rsidRDefault="00C01202">
      <w:pPr>
        <w:rPr>
          <w:rFonts w:ascii="Arial" w:hAnsi="Arial" w:cs="Arial"/>
        </w:rPr>
      </w:pPr>
    </w:p>
    <w:p w:rsidR="00C01202" w:rsidRDefault="00C01202">
      <w:pPr>
        <w:rPr>
          <w:rFonts w:ascii="Arial" w:hAnsi="Arial" w:cs="Arial"/>
        </w:rPr>
      </w:pPr>
    </w:p>
    <w:p w:rsidR="00C01202" w:rsidRDefault="00C01202">
      <w:pPr>
        <w:rPr>
          <w:rFonts w:ascii="Arial" w:hAnsi="Arial" w:cs="Arial"/>
        </w:rPr>
      </w:pPr>
    </w:p>
    <w:p w:rsidR="00C01202" w:rsidRDefault="00C01202">
      <w:pPr>
        <w:rPr>
          <w:rFonts w:ascii="Arial" w:hAnsi="Arial" w:cs="Arial"/>
        </w:rPr>
      </w:pPr>
    </w:p>
    <w:p w:rsidR="00C01202" w:rsidRDefault="00C01202">
      <w:pPr>
        <w:rPr>
          <w:rFonts w:ascii="Arial" w:hAnsi="Arial" w:cs="Arial"/>
        </w:rPr>
      </w:pPr>
    </w:p>
    <w:p w:rsidR="00C01202" w:rsidRDefault="00C01202">
      <w:pPr>
        <w:rPr>
          <w:rFonts w:ascii="Arial" w:hAnsi="Arial" w:cs="Arial"/>
        </w:rPr>
      </w:pPr>
    </w:p>
    <w:p w:rsidR="00C01202" w:rsidRDefault="00C01202">
      <w:pPr>
        <w:rPr>
          <w:rFonts w:ascii="Arial" w:hAnsi="Arial" w:cs="Arial"/>
        </w:rPr>
      </w:pPr>
    </w:p>
    <w:p w:rsidR="00C01202" w:rsidRDefault="00C01202">
      <w:pPr>
        <w:rPr>
          <w:rFonts w:ascii="Arial" w:hAnsi="Arial" w:cs="Arial"/>
        </w:rPr>
      </w:pPr>
    </w:p>
    <w:p w:rsidR="00C01202" w:rsidRDefault="00C01202">
      <w:pPr>
        <w:rPr>
          <w:rFonts w:ascii="Arial" w:hAnsi="Arial" w:cs="Arial"/>
        </w:rPr>
      </w:pPr>
    </w:p>
    <w:p w:rsidR="00C01202" w:rsidRDefault="00C01202">
      <w:pPr>
        <w:rPr>
          <w:rFonts w:ascii="Arial" w:hAnsi="Arial" w:cs="Arial"/>
        </w:rPr>
      </w:pPr>
    </w:p>
    <w:p w:rsidR="00C01202" w:rsidRDefault="00C01202">
      <w:pPr>
        <w:rPr>
          <w:rFonts w:ascii="Arial" w:hAnsi="Arial" w:cs="Arial"/>
        </w:rPr>
      </w:pPr>
    </w:p>
    <w:p w:rsidR="00C01202" w:rsidRDefault="00C01202">
      <w:pPr>
        <w:rPr>
          <w:rFonts w:ascii="Arial" w:hAnsi="Arial" w:cs="Arial"/>
        </w:rPr>
      </w:pPr>
    </w:p>
    <w:p w:rsidR="00C01202" w:rsidRDefault="00C01202">
      <w:pPr>
        <w:rPr>
          <w:rFonts w:ascii="Arial" w:hAnsi="Arial" w:cs="Arial"/>
        </w:rPr>
      </w:pPr>
    </w:p>
    <w:p w:rsidR="00C01202" w:rsidRDefault="00C01202">
      <w:pPr>
        <w:rPr>
          <w:rFonts w:ascii="Arial" w:hAnsi="Arial" w:cs="Arial"/>
        </w:rPr>
      </w:pPr>
    </w:p>
    <w:p w:rsidR="00C01202" w:rsidRDefault="00C01202">
      <w:pPr>
        <w:rPr>
          <w:rFonts w:ascii="Arial" w:hAnsi="Arial" w:cs="Arial"/>
        </w:rPr>
      </w:pPr>
    </w:p>
    <w:p w:rsidR="00C01202" w:rsidRDefault="00C01202">
      <w:pPr>
        <w:rPr>
          <w:rFonts w:ascii="Arial" w:hAnsi="Arial" w:cs="Arial"/>
        </w:rPr>
      </w:pPr>
    </w:p>
    <w:p w:rsidR="00C01202" w:rsidRDefault="00C01202">
      <w:pPr>
        <w:rPr>
          <w:rFonts w:ascii="Arial" w:hAnsi="Arial" w:cs="Arial"/>
        </w:rPr>
      </w:pPr>
    </w:p>
    <w:p w:rsidR="00C01202" w:rsidRDefault="00C01202">
      <w:pPr>
        <w:rPr>
          <w:rFonts w:ascii="Arial" w:hAnsi="Arial" w:cs="Arial"/>
        </w:rPr>
      </w:pPr>
    </w:p>
    <w:p w:rsidR="00C01202" w:rsidRDefault="00C01202">
      <w:pPr>
        <w:rPr>
          <w:rFonts w:ascii="Arial" w:hAnsi="Arial" w:cs="Arial"/>
        </w:rPr>
      </w:pPr>
    </w:p>
    <w:p w:rsidR="00C01202" w:rsidRDefault="00C01202">
      <w:pPr>
        <w:rPr>
          <w:rFonts w:ascii="Arial" w:hAnsi="Arial" w:cs="Arial"/>
        </w:rPr>
      </w:pPr>
    </w:p>
    <w:p w:rsidR="00C01202" w:rsidRDefault="00C01202">
      <w:pPr>
        <w:rPr>
          <w:rFonts w:ascii="Arial" w:hAnsi="Arial" w:cs="Arial"/>
        </w:rPr>
      </w:pPr>
    </w:p>
    <w:p w:rsidR="00C01202" w:rsidRDefault="00C01202">
      <w:pPr>
        <w:rPr>
          <w:rFonts w:ascii="Arial" w:hAnsi="Arial" w:cs="Arial"/>
        </w:rPr>
      </w:pPr>
    </w:p>
    <w:p w:rsidR="00C01202" w:rsidRDefault="00C01202">
      <w:pPr>
        <w:rPr>
          <w:rFonts w:ascii="Arial" w:hAnsi="Arial" w:cs="Arial"/>
        </w:rPr>
      </w:pPr>
    </w:p>
    <w:p w:rsidR="00C01202" w:rsidRDefault="00C01202">
      <w:pPr>
        <w:rPr>
          <w:rFonts w:ascii="Arial" w:hAnsi="Arial" w:cs="Arial"/>
        </w:rPr>
      </w:pPr>
    </w:p>
    <w:p w:rsidR="00C01202" w:rsidRDefault="00C01202">
      <w:pPr>
        <w:rPr>
          <w:rFonts w:ascii="Arial" w:hAnsi="Arial" w:cs="Arial"/>
        </w:rPr>
      </w:pPr>
    </w:p>
    <w:p w:rsidR="00C01202" w:rsidRDefault="00C01202">
      <w:pPr>
        <w:rPr>
          <w:rFonts w:ascii="Arial" w:hAnsi="Arial" w:cs="Arial"/>
        </w:rPr>
      </w:pPr>
    </w:p>
    <w:p w:rsidR="00C01202" w:rsidRDefault="00C01202">
      <w:pPr>
        <w:rPr>
          <w:rFonts w:ascii="Arial" w:hAnsi="Arial" w:cs="Arial"/>
        </w:rPr>
      </w:pPr>
    </w:p>
    <w:p w:rsidR="00C01202" w:rsidRDefault="00C01202">
      <w:pPr>
        <w:rPr>
          <w:rFonts w:ascii="Arial" w:hAnsi="Arial" w:cs="Arial"/>
        </w:rPr>
      </w:pPr>
    </w:p>
    <w:p w:rsidR="00C01202" w:rsidRDefault="00C01202">
      <w:pPr>
        <w:rPr>
          <w:rFonts w:ascii="Arial" w:hAnsi="Arial" w:cs="Arial"/>
        </w:rPr>
      </w:pPr>
    </w:p>
    <w:p w:rsidR="00FB7C4A" w:rsidRDefault="00FB7C4A">
      <w:pPr>
        <w:rPr>
          <w:rFonts w:ascii="Arial" w:hAnsi="Arial" w:cs="Arial"/>
        </w:rPr>
      </w:pPr>
    </w:p>
    <w:p w:rsidR="00FB7C4A" w:rsidRDefault="00FB7C4A">
      <w:pPr>
        <w:rPr>
          <w:rFonts w:ascii="Arial" w:hAnsi="Arial" w:cs="Arial"/>
        </w:rPr>
      </w:pPr>
    </w:p>
    <w:p w:rsidR="00FB7C4A" w:rsidRDefault="00FB7C4A">
      <w:pPr>
        <w:rPr>
          <w:rFonts w:ascii="Arial" w:hAnsi="Arial" w:cs="Arial"/>
        </w:rPr>
      </w:pPr>
    </w:p>
    <w:p w:rsidR="00FB7C4A" w:rsidRDefault="00FB7C4A">
      <w:pPr>
        <w:rPr>
          <w:rFonts w:ascii="Arial" w:hAnsi="Arial" w:cs="Arial"/>
        </w:rPr>
      </w:pPr>
    </w:p>
    <w:p w:rsidR="00FB7C4A" w:rsidRPr="00FB7C4A" w:rsidRDefault="00FB7C4A">
      <w:pPr>
        <w:rPr>
          <w:rFonts w:ascii="Arial" w:hAnsi="Arial" w:cs="Arial"/>
        </w:rPr>
      </w:pPr>
    </w:p>
    <w:p w:rsidR="00B44867" w:rsidRPr="00FB7C4A" w:rsidRDefault="00FB7C4A">
      <w:pPr>
        <w:rPr>
          <w:rFonts w:ascii="Arial" w:hAnsi="Arial" w:cs="Arial"/>
          <w:b/>
        </w:rPr>
      </w:pPr>
      <w:r w:rsidRPr="00FB7C4A">
        <w:rPr>
          <w:rFonts w:ascii="Arial" w:hAnsi="Arial" w:cs="Arial"/>
          <w:b/>
        </w:rPr>
        <w:lastRenderedPageBreak/>
        <w:t>SECTION 2 – CONSULTATION RESPONSES</w:t>
      </w:r>
    </w:p>
    <w:p w:rsidR="00FB7C4A" w:rsidRPr="00FB7C4A" w:rsidRDefault="00FB7C4A">
      <w:pPr>
        <w:rPr>
          <w:rFonts w:ascii="Arial" w:hAnsi="Arial" w:cs="Arial"/>
        </w:rPr>
      </w:pPr>
    </w:p>
    <w:p w:rsidR="00B44867" w:rsidRPr="00FB7C4A" w:rsidRDefault="00B44867" w:rsidP="00B44867">
      <w:pPr>
        <w:rPr>
          <w:rFonts w:ascii="Arial" w:eastAsia="Times New Roman" w:hAnsi="Arial" w:cs="Arial"/>
          <w:lang w:val="en-US"/>
        </w:rPr>
      </w:pPr>
      <w:r w:rsidRPr="00FB7C4A">
        <w:rPr>
          <w:rFonts w:ascii="Arial" w:eastAsia="Times New Roman" w:hAnsi="Arial" w:cs="Arial"/>
          <w:b/>
          <w:bCs/>
          <w:lang w:val="en-US"/>
        </w:rPr>
        <w:t>From:</w:t>
      </w:r>
      <w:r w:rsidRPr="00FB7C4A">
        <w:rPr>
          <w:rFonts w:ascii="Arial" w:eastAsia="Times New Roman" w:hAnsi="Arial" w:cs="Arial"/>
          <w:lang w:val="en-US"/>
        </w:rPr>
        <w:t xml:space="preserve"> XXX [mailto:XXX@novomatic.co.uk] </w:t>
      </w:r>
      <w:r w:rsidRPr="00FB7C4A">
        <w:rPr>
          <w:rFonts w:ascii="Arial" w:eastAsia="Times New Roman" w:hAnsi="Arial" w:cs="Arial"/>
          <w:lang w:val="en-US"/>
        </w:rPr>
        <w:br/>
      </w:r>
      <w:r w:rsidRPr="00FB7C4A">
        <w:rPr>
          <w:rFonts w:ascii="Arial" w:eastAsia="Times New Roman" w:hAnsi="Arial" w:cs="Arial"/>
          <w:b/>
          <w:bCs/>
          <w:lang w:val="en-US"/>
        </w:rPr>
        <w:t>Sent:</w:t>
      </w:r>
      <w:r w:rsidRPr="00FB7C4A">
        <w:rPr>
          <w:rFonts w:ascii="Arial" w:eastAsia="Times New Roman" w:hAnsi="Arial" w:cs="Arial"/>
          <w:lang w:val="en-US"/>
        </w:rPr>
        <w:t xml:space="preserve"> 23 July 2018 10:24</w:t>
      </w:r>
      <w:r w:rsidRPr="00FB7C4A">
        <w:rPr>
          <w:rFonts w:ascii="Arial" w:eastAsia="Times New Roman" w:hAnsi="Arial" w:cs="Arial"/>
          <w:lang w:val="en-US"/>
        </w:rPr>
        <w:br/>
      </w:r>
      <w:proofErr w:type="gramStart"/>
      <w:r w:rsidRPr="00FB7C4A">
        <w:rPr>
          <w:rFonts w:ascii="Arial" w:eastAsia="Times New Roman" w:hAnsi="Arial" w:cs="Arial"/>
          <w:b/>
          <w:bCs/>
          <w:lang w:val="en-US"/>
        </w:rPr>
        <w:t>To</w:t>
      </w:r>
      <w:proofErr w:type="gramEnd"/>
      <w:r w:rsidRPr="00FB7C4A">
        <w:rPr>
          <w:rFonts w:ascii="Arial" w:eastAsia="Times New Roman" w:hAnsi="Arial" w:cs="Arial"/>
          <w:b/>
          <w:bCs/>
          <w:lang w:val="en-US"/>
        </w:rPr>
        <w:t>:</w:t>
      </w:r>
      <w:r w:rsidRPr="00FB7C4A">
        <w:rPr>
          <w:rFonts w:ascii="Arial" w:eastAsia="Times New Roman" w:hAnsi="Arial" w:cs="Arial"/>
          <w:lang w:val="en-US"/>
        </w:rPr>
        <w:t xml:space="preserve"> license</w:t>
      </w:r>
      <w:r w:rsidRPr="00FB7C4A">
        <w:rPr>
          <w:rFonts w:ascii="Arial" w:eastAsia="Times New Roman" w:hAnsi="Arial" w:cs="Arial"/>
          <w:lang w:val="en-US"/>
        </w:rPr>
        <w:br/>
      </w:r>
      <w:r w:rsidRPr="00FB7C4A">
        <w:rPr>
          <w:rFonts w:ascii="Arial" w:eastAsia="Times New Roman" w:hAnsi="Arial" w:cs="Arial"/>
          <w:b/>
          <w:bCs/>
          <w:lang w:val="en-US"/>
        </w:rPr>
        <w:t>Cc:</w:t>
      </w:r>
      <w:r w:rsidRPr="00FB7C4A">
        <w:rPr>
          <w:rFonts w:ascii="Arial" w:eastAsia="Times New Roman" w:hAnsi="Arial" w:cs="Arial"/>
          <w:lang w:val="en-US"/>
        </w:rPr>
        <w:t xml:space="preserve"> XXX</w:t>
      </w:r>
      <w:r w:rsidRPr="00FB7C4A">
        <w:rPr>
          <w:rFonts w:ascii="Arial" w:eastAsia="Times New Roman" w:hAnsi="Arial" w:cs="Arial"/>
          <w:lang w:val="en-US"/>
        </w:rPr>
        <w:br/>
      </w:r>
      <w:r w:rsidRPr="00FB7C4A">
        <w:rPr>
          <w:rFonts w:ascii="Arial" w:eastAsia="Times New Roman" w:hAnsi="Arial" w:cs="Arial"/>
          <w:b/>
          <w:bCs/>
          <w:lang w:val="en-US"/>
        </w:rPr>
        <w:t>Subject:</w:t>
      </w:r>
      <w:r w:rsidRPr="00FB7C4A">
        <w:rPr>
          <w:rFonts w:ascii="Arial" w:eastAsia="Times New Roman" w:hAnsi="Arial" w:cs="Arial"/>
          <w:lang w:val="en-US"/>
        </w:rPr>
        <w:t xml:space="preserve"> Gambling Act 2005 - Statement of Principles Consultation (Harrow Council)</w:t>
      </w:r>
    </w:p>
    <w:p w:rsidR="00B44867" w:rsidRPr="00FB7C4A" w:rsidRDefault="00B44867" w:rsidP="00B44867">
      <w:pPr>
        <w:rPr>
          <w:rFonts w:ascii="Arial" w:hAnsi="Arial" w:cs="Arial"/>
        </w:rPr>
      </w:pPr>
    </w:p>
    <w:p w:rsidR="00B44867" w:rsidRPr="00FB7C4A" w:rsidRDefault="00B44867" w:rsidP="00B44867">
      <w:pPr>
        <w:jc w:val="both"/>
        <w:rPr>
          <w:rFonts w:ascii="Arial" w:hAnsi="Arial" w:cs="Arial"/>
        </w:rPr>
      </w:pPr>
      <w:r w:rsidRPr="00FB7C4A">
        <w:rPr>
          <w:rFonts w:ascii="Arial" w:hAnsi="Arial" w:cs="Arial"/>
        </w:rPr>
        <w:t>Dear Sirs</w:t>
      </w:r>
    </w:p>
    <w:p w:rsidR="00B44867" w:rsidRPr="00FB7C4A" w:rsidRDefault="00B44867" w:rsidP="00B44867">
      <w:pPr>
        <w:jc w:val="both"/>
        <w:rPr>
          <w:rFonts w:ascii="Arial" w:hAnsi="Arial" w:cs="Arial"/>
        </w:rPr>
      </w:pPr>
      <w:r w:rsidRPr="00FB7C4A">
        <w:rPr>
          <w:rFonts w:ascii="Arial" w:hAnsi="Arial" w:cs="Arial"/>
        </w:rPr>
        <w:t> </w:t>
      </w:r>
    </w:p>
    <w:p w:rsidR="00B44867" w:rsidRPr="00FB7C4A" w:rsidRDefault="00B44867" w:rsidP="00B44867">
      <w:pPr>
        <w:jc w:val="both"/>
        <w:rPr>
          <w:rFonts w:ascii="Arial" w:hAnsi="Arial" w:cs="Arial"/>
        </w:rPr>
      </w:pPr>
      <w:r w:rsidRPr="00FB7C4A">
        <w:rPr>
          <w:rFonts w:ascii="Arial" w:hAnsi="Arial" w:cs="Arial"/>
          <w:b/>
          <w:bCs/>
        </w:rPr>
        <w:t>Gambling Act 2005 – Statement of Principles Consultation</w:t>
      </w:r>
    </w:p>
    <w:p w:rsidR="00B44867" w:rsidRPr="00FB7C4A" w:rsidRDefault="00B44867" w:rsidP="00B44867">
      <w:pPr>
        <w:jc w:val="both"/>
        <w:rPr>
          <w:rFonts w:ascii="Arial" w:hAnsi="Arial" w:cs="Arial"/>
        </w:rPr>
      </w:pPr>
      <w:r w:rsidRPr="00FB7C4A">
        <w:rPr>
          <w:rFonts w:ascii="Arial" w:hAnsi="Arial" w:cs="Arial"/>
        </w:rPr>
        <w:t> </w:t>
      </w:r>
    </w:p>
    <w:p w:rsidR="00B44867" w:rsidRPr="00FB7C4A" w:rsidRDefault="00B44867" w:rsidP="00B44867">
      <w:pPr>
        <w:jc w:val="both"/>
        <w:rPr>
          <w:rFonts w:ascii="Arial" w:hAnsi="Arial" w:cs="Arial"/>
        </w:rPr>
      </w:pPr>
      <w:r w:rsidRPr="00FB7C4A">
        <w:rPr>
          <w:rFonts w:ascii="Arial" w:hAnsi="Arial" w:cs="Arial"/>
        </w:rPr>
        <w:t>On behalf of Luxury Leisure, I make the following comments in response to the above consultation draft (the “Draft”):-</w:t>
      </w:r>
    </w:p>
    <w:p w:rsidR="00B44867" w:rsidRPr="00FB7C4A" w:rsidRDefault="00B44867" w:rsidP="00B44867">
      <w:pPr>
        <w:jc w:val="both"/>
        <w:rPr>
          <w:rFonts w:ascii="Arial" w:hAnsi="Arial" w:cs="Arial"/>
        </w:rPr>
      </w:pPr>
      <w:r w:rsidRPr="00FB7C4A">
        <w:rPr>
          <w:rFonts w:ascii="Arial" w:hAnsi="Arial" w:cs="Arial"/>
        </w:rPr>
        <w:t> </w:t>
      </w:r>
    </w:p>
    <w:p w:rsidR="00B44867" w:rsidRPr="00FB7C4A" w:rsidRDefault="00B44867" w:rsidP="00B44867">
      <w:pPr>
        <w:pStyle w:val="ListParagraph"/>
        <w:ind w:left="360" w:hanging="360"/>
        <w:jc w:val="both"/>
        <w:rPr>
          <w:rFonts w:ascii="Arial" w:hAnsi="Arial" w:cs="Arial"/>
        </w:rPr>
      </w:pPr>
      <w:r w:rsidRPr="00FB7C4A">
        <w:rPr>
          <w:rFonts w:ascii="Arial" w:hAnsi="Arial" w:cs="Arial"/>
        </w:rPr>
        <w:t>1.     As the Authority will appreciate, in matters of regulation under the Gambling Act 2005 (the “Act”)</w:t>
      </w:r>
      <w:proofErr w:type="gramStart"/>
      <w:r w:rsidRPr="00FB7C4A">
        <w:rPr>
          <w:rFonts w:ascii="Arial" w:hAnsi="Arial" w:cs="Arial"/>
        </w:rPr>
        <w:t>,</w:t>
      </w:r>
      <w:proofErr w:type="gramEnd"/>
      <w:r w:rsidRPr="00FB7C4A">
        <w:rPr>
          <w:rFonts w:ascii="Arial" w:hAnsi="Arial" w:cs="Arial"/>
        </w:rPr>
        <w:t xml:space="preserve"> it is subject to the Regulators’ Code.  That code imposes a number of obligations on the Authority, including one that it should carry out its activities in a way that it supports those it regulates to comply and grow.  Additionally, when designing and reviewing policies, the Authority must among other things, understand and minimise the negative economic impact of its regulatory activities and regulate and minimise the costs of compliance of those it regulates.  Further, the Authority should take an evidence-based approach in determining priority risks and recognise the compliance record of those it regulates.  I do not think there is reference to the Regulators’ Code in the current Draft and suggest that it would be appropriate </w:t>
      </w:r>
      <w:proofErr w:type="gramStart"/>
      <w:r w:rsidRPr="00FB7C4A">
        <w:rPr>
          <w:rFonts w:ascii="Arial" w:hAnsi="Arial" w:cs="Arial"/>
        </w:rPr>
        <w:t>to  incorporate</w:t>
      </w:r>
      <w:proofErr w:type="gramEnd"/>
      <w:r w:rsidRPr="00FB7C4A">
        <w:rPr>
          <w:rFonts w:ascii="Arial" w:hAnsi="Arial" w:cs="Arial"/>
        </w:rPr>
        <w:t xml:space="preserve"> it.</w:t>
      </w:r>
    </w:p>
    <w:p w:rsidR="00B44867" w:rsidRPr="00FB7C4A" w:rsidRDefault="00B44867" w:rsidP="00B44867">
      <w:pPr>
        <w:pStyle w:val="ListParagraph"/>
        <w:ind w:left="360"/>
        <w:jc w:val="both"/>
        <w:rPr>
          <w:rFonts w:ascii="Arial" w:hAnsi="Arial" w:cs="Arial"/>
        </w:rPr>
      </w:pPr>
      <w:r w:rsidRPr="00FB7C4A">
        <w:rPr>
          <w:rFonts w:ascii="Arial" w:hAnsi="Arial" w:cs="Arial"/>
        </w:rPr>
        <w:t> </w:t>
      </w:r>
    </w:p>
    <w:p w:rsidR="00B44867" w:rsidRPr="00FB7C4A" w:rsidRDefault="00B44867" w:rsidP="00B44867">
      <w:pPr>
        <w:pStyle w:val="ListParagraph"/>
        <w:ind w:left="360" w:hanging="360"/>
        <w:jc w:val="both"/>
        <w:rPr>
          <w:rFonts w:ascii="Arial" w:hAnsi="Arial" w:cs="Arial"/>
        </w:rPr>
      </w:pPr>
      <w:r w:rsidRPr="00FB7C4A">
        <w:rPr>
          <w:rFonts w:ascii="Arial" w:hAnsi="Arial" w:cs="Arial"/>
        </w:rPr>
        <w:t xml:space="preserve">2.     Para 3.5 – children are of course permitted to access certain gambling premises and in some premises are entitled to engage in a limited range of gambling activities.  It might be helpful for this to be made clear.  </w:t>
      </w:r>
    </w:p>
    <w:p w:rsidR="00B44867" w:rsidRPr="00FB7C4A" w:rsidRDefault="00B44867" w:rsidP="00B44867">
      <w:pPr>
        <w:pStyle w:val="ListParagraph"/>
        <w:rPr>
          <w:rFonts w:ascii="Arial" w:hAnsi="Arial" w:cs="Arial"/>
        </w:rPr>
      </w:pPr>
      <w:r w:rsidRPr="00FB7C4A">
        <w:rPr>
          <w:rFonts w:ascii="Arial" w:hAnsi="Arial" w:cs="Arial"/>
        </w:rPr>
        <w:t> </w:t>
      </w:r>
    </w:p>
    <w:p w:rsidR="00B44867" w:rsidRPr="00FB7C4A" w:rsidRDefault="00B44867" w:rsidP="00B44867">
      <w:pPr>
        <w:pStyle w:val="ListParagraph"/>
        <w:ind w:left="360" w:hanging="360"/>
        <w:jc w:val="both"/>
        <w:rPr>
          <w:rFonts w:ascii="Arial" w:hAnsi="Arial" w:cs="Arial"/>
        </w:rPr>
      </w:pPr>
      <w:r w:rsidRPr="00FB7C4A">
        <w:rPr>
          <w:rFonts w:ascii="Arial" w:hAnsi="Arial" w:cs="Arial"/>
        </w:rPr>
        <w:t>3.     Para 3.6 – similarly, it would be helpful if it was clarified that the Act permits children to access certain premises and to engage in limited gambling activities in some.  The comments in the Draft about restrictions on the presence of children would not apply to such premises.</w:t>
      </w:r>
    </w:p>
    <w:p w:rsidR="00B44867" w:rsidRPr="00FB7C4A" w:rsidRDefault="00B44867" w:rsidP="00B44867">
      <w:pPr>
        <w:pStyle w:val="ListParagraph"/>
        <w:rPr>
          <w:rFonts w:ascii="Arial" w:hAnsi="Arial" w:cs="Arial"/>
        </w:rPr>
      </w:pPr>
      <w:r w:rsidRPr="00FB7C4A">
        <w:rPr>
          <w:rFonts w:ascii="Arial" w:hAnsi="Arial" w:cs="Arial"/>
        </w:rPr>
        <w:t> </w:t>
      </w:r>
    </w:p>
    <w:p w:rsidR="00B44867" w:rsidRPr="00FB7C4A" w:rsidRDefault="00B44867" w:rsidP="00B44867">
      <w:pPr>
        <w:pStyle w:val="ListParagraph"/>
        <w:ind w:left="360" w:hanging="360"/>
        <w:jc w:val="both"/>
        <w:rPr>
          <w:rFonts w:ascii="Arial" w:hAnsi="Arial" w:cs="Arial"/>
        </w:rPr>
      </w:pPr>
      <w:r w:rsidRPr="00FB7C4A">
        <w:rPr>
          <w:rFonts w:ascii="Arial" w:hAnsi="Arial" w:cs="Arial"/>
        </w:rPr>
        <w:t xml:space="preserve">4.     Para 3.17 – again, children are permitted to take part in some gambling activities and this should be made clear.  In those circumstances, plainly they are permitted to “be in close proximity to” gambling.  </w:t>
      </w:r>
    </w:p>
    <w:p w:rsidR="00B44867" w:rsidRPr="00FB7C4A" w:rsidRDefault="00B44867" w:rsidP="00B44867">
      <w:pPr>
        <w:pStyle w:val="ListParagraph"/>
        <w:rPr>
          <w:rFonts w:ascii="Arial" w:hAnsi="Arial" w:cs="Arial"/>
        </w:rPr>
      </w:pPr>
      <w:r w:rsidRPr="00FB7C4A">
        <w:rPr>
          <w:rFonts w:ascii="Arial" w:hAnsi="Arial" w:cs="Arial"/>
        </w:rPr>
        <w:t> </w:t>
      </w:r>
    </w:p>
    <w:p w:rsidR="00B44867" w:rsidRPr="00FB7C4A" w:rsidRDefault="00B44867" w:rsidP="00B44867">
      <w:pPr>
        <w:pStyle w:val="ListParagraph"/>
        <w:ind w:left="360" w:hanging="360"/>
        <w:jc w:val="both"/>
        <w:rPr>
          <w:rFonts w:ascii="Arial" w:hAnsi="Arial" w:cs="Arial"/>
        </w:rPr>
      </w:pPr>
      <w:r w:rsidRPr="00FB7C4A">
        <w:rPr>
          <w:rFonts w:ascii="Arial" w:hAnsi="Arial" w:cs="Arial"/>
        </w:rPr>
        <w:t>5.     Para 5.3 – as the Draft confirms, issues of planning are not relevant to a licensing application (save in limited circumstances relating to the licensing objectives).  It is therefore confusing that the Draft suggests that licensing applicants consider the local planning authority’s approach to granting planning permissions. I suggest that this is removed.</w:t>
      </w:r>
    </w:p>
    <w:p w:rsidR="00B44867" w:rsidRPr="00FB7C4A" w:rsidRDefault="00B44867" w:rsidP="00B44867">
      <w:pPr>
        <w:pStyle w:val="ListParagraph"/>
        <w:rPr>
          <w:rFonts w:ascii="Arial" w:hAnsi="Arial" w:cs="Arial"/>
        </w:rPr>
      </w:pPr>
      <w:r w:rsidRPr="00FB7C4A">
        <w:rPr>
          <w:rFonts w:ascii="Arial" w:hAnsi="Arial" w:cs="Arial"/>
        </w:rPr>
        <w:t> </w:t>
      </w:r>
    </w:p>
    <w:p w:rsidR="00B44867" w:rsidRPr="00FB7C4A" w:rsidRDefault="00B44867" w:rsidP="00B44867">
      <w:pPr>
        <w:pStyle w:val="ListParagraph"/>
        <w:ind w:left="360" w:hanging="360"/>
        <w:jc w:val="both"/>
        <w:rPr>
          <w:rFonts w:ascii="Arial" w:hAnsi="Arial" w:cs="Arial"/>
        </w:rPr>
      </w:pPr>
      <w:r w:rsidRPr="00FB7C4A">
        <w:rPr>
          <w:rFonts w:ascii="Arial" w:hAnsi="Arial" w:cs="Arial"/>
        </w:rPr>
        <w:t xml:space="preserve">6.     Para 9.6 – In relation to inspections, I note the proposal that only a quarter of betting premises will be visited each year, whereas each AGC or bingo premises will be visited every 12-18 months.  I appreciate that the proposed inspection rate for betting premises is based on the fact that the majority of premises are operated by the same businesses and that standards should be consistent within the business.  However, that is not necessarily the case in practice and, as the Draft notes, each </w:t>
      </w:r>
      <w:proofErr w:type="gramStart"/>
      <w:r w:rsidRPr="00FB7C4A">
        <w:rPr>
          <w:rFonts w:ascii="Arial" w:hAnsi="Arial" w:cs="Arial"/>
        </w:rPr>
        <w:t>premises</w:t>
      </w:r>
      <w:proofErr w:type="gramEnd"/>
      <w:r w:rsidRPr="00FB7C4A">
        <w:rPr>
          <w:rFonts w:ascii="Arial" w:hAnsi="Arial" w:cs="Arial"/>
        </w:rPr>
        <w:t xml:space="preserve"> will differ in terms of location, previous crime and incident reports and each business is staffed by different individuals. On the basis of the above we see no reason for inspections of betting premises to be different from those of other adult gambling sites.</w:t>
      </w:r>
    </w:p>
    <w:p w:rsidR="00B44867" w:rsidRPr="00FB7C4A" w:rsidRDefault="00B44867" w:rsidP="00B44867">
      <w:pPr>
        <w:pStyle w:val="ListParagraph"/>
        <w:rPr>
          <w:rFonts w:ascii="Arial" w:hAnsi="Arial" w:cs="Arial"/>
        </w:rPr>
      </w:pPr>
      <w:r w:rsidRPr="00FB7C4A">
        <w:rPr>
          <w:rFonts w:ascii="Arial" w:hAnsi="Arial" w:cs="Arial"/>
        </w:rPr>
        <w:t> </w:t>
      </w:r>
    </w:p>
    <w:p w:rsidR="00B44867" w:rsidRPr="00FB7C4A" w:rsidRDefault="00B44867" w:rsidP="00B44867">
      <w:pPr>
        <w:pStyle w:val="ListParagraph"/>
        <w:ind w:left="360" w:hanging="360"/>
        <w:jc w:val="both"/>
        <w:rPr>
          <w:rFonts w:ascii="Arial" w:hAnsi="Arial" w:cs="Arial"/>
        </w:rPr>
      </w:pPr>
      <w:r w:rsidRPr="00FB7C4A">
        <w:rPr>
          <w:rFonts w:ascii="Arial" w:hAnsi="Arial" w:cs="Arial"/>
        </w:rPr>
        <w:lastRenderedPageBreak/>
        <w:t>7.     Para 10.4 – as above, children are permitted to partake in limited types of gambling and this should be made clear.  Further, the Act does not prohibit children being in “close proximity to gambling”.  We appreciate that this concept might have originated with the Gambling Commission, but is not based on the statute.</w:t>
      </w:r>
    </w:p>
    <w:p w:rsidR="00B44867" w:rsidRPr="00FB7C4A" w:rsidRDefault="00B44867" w:rsidP="00B44867">
      <w:pPr>
        <w:pStyle w:val="ListParagraph"/>
        <w:rPr>
          <w:rFonts w:ascii="Arial" w:hAnsi="Arial" w:cs="Arial"/>
        </w:rPr>
      </w:pPr>
      <w:r w:rsidRPr="00FB7C4A">
        <w:rPr>
          <w:rFonts w:ascii="Arial" w:hAnsi="Arial" w:cs="Arial"/>
        </w:rPr>
        <w:t> </w:t>
      </w:r>
    </w:p>
    <w:p w:rsidR="00B44867" w:rsidRPr="00FB7C4A" w:rsidRDefault="00B44867" w:rsidP="00B44867">
      <w:pPr>
        <w:pStyle w:val="ListParagraph"/>
        <w:ind w:left="360" w:hanging="360"/>
        <w:jc w:val="both"/>
        <w:rPr>
          <w:rFonts w:ascii="Arial" w:hAnsi="Arial" w:cs="Arial"/>
        </w:rPr>
      </w:pPr>
      <w:r w:rsidRPr="00FB7C4A">
        <w:rPr>
          <w:rFonts w:ascii="Arial" w:hAnsi="Arial" w:cs="Arial"/>
        </w:rPr>
        <w:t>8.     Para 10.17 – whilst we acknowledge that the licensing authority will expect applicants to offer suggestions as to the ways in which the licensing objectives can be met effectively, the current Draft might be taken to suggest that applicants should suggest their own conditions.  Licences are already covered by mandatory and default conditions and suggest that the words “if appropriate” be inserted after the words “… expect the licence applicant”.</w:t>
      </w:r>
    </w:p>
    <w:p w:rsidR="00B44867" w:rsidRPr="00FB7C4A" w:rsidRDefault="00B44867" w:rsidP="00B44867">
      <w:pPr>
        <w:pStyle w:val="ListParagraph"/>
        <w:rPr>
          <w:rFonts w:ascii="Arial" w:hAnsi="Arial" w:cs="Arial"/>
        </w:rPr>
      </w:pPr>
      <w:r w:rsidRPr="00FB7C4A">
        <w:rPr>
          <w:rFonts w:ascii="Arial" w:hAnsi="Arial" w:cs="Arial"/>
        </w:rPr>
        <w:t> </w:t>
      </w:r>
    </w:p>
    <w:p w:rsidR="00B44867" w:rsidRPr="00FB7C4A" w:rsidRDefault="00B44867" w:rsidP="00B44867">
      <w:pPr>
        <w:pStyle w:val="ListParagraph"/>
        <w:ind w:left="360" w:hanging="360"/>
        <w:jc w:val="both"/>
        <w:rPr>
          <w:rFonts w:ascii="Arial" w:hAnsi="Arial" w:cs="Arial"/>
        </w:rPr>
      </w:pPr>
      <w:r w:rsidRPr="00FB7C4A">
        <w:rPr>
          <w:rFonts w:ascii="Arial" w:hAnsi="Arial" w:cs="Arial"/>
        </w:rPr>
        <w:t xml:space="preserve">9.     Para 10.21 – the Draft states that “there is no evidence that the operation of </w:t>
      </w:r>
      <w:r w:rsidRPr="00FB7C4A">
        <w:rPr>
          <w:rFonts w:ascii="Arial" w:hAnsi="Arial" w:cs="Arial"/>
          <w:u w:val="single"/>
        </w:rPr>
        <w:t>betting offices</w:t>
      </w:r>
      <w:r w:rsidRPr="00FB7C4A">
        <w:rPr>
          <w:rFonts w:ascii="Arial" w:hAnsi="Arial" w:cs="Arial"/>
        </w:rPr>
        <w:t xml:space="preserve"> has required door supervisors for the protection of the public” (emphasis added).  Whilst this might be true, it is also the case in relation to AGCs, FECs and bingo premises and we suggest this be clarified.</w:t>
      </w:r>
    </w:p>
    <w:p w:rsidR="00B44867" w:rsidRPr="00FB7C4A" w:rsidRDefault="00B44867" w:rsidP="00B44867">
      <w:pPr>
        <w:pStyle w:val="ListParagraph"/>
        <w:rPr>
          <w:rFonts w:ascii="Arial" w:hAnsi="Arial" w:cs="Arial"/>
        </w:rPr>
      </w:pPr>
      <w:r w:rsidRPr="00FB7C4A">
        <w:rPr>
          <w:rFonts w:ascii="Arial" w:hAnsi="Arial" w:cs="Arial"/>
        </w:rPr>
        <w:t> </w:t>
      </w:r>
    </w:p>
    <w:p w:rsidR="00B44867" w:rsidRPr="00FB7C4A" w:rsidRDefault="00B44867" w:rsidP="00B44867">
      <w:pPr>
        <w:pStyle w:val="ListParagraph"/>
        <w:ind w:left="360" w:hanging="360"/>
        <w:jc w:val="both"/>
        <w:rPr>
          <w:rFonts w:ascii="Arial" w:hAnsi="Arial" w:cs="Arial"/>
        </w:rPr>
      </w:pPr>
      <w:r w:rsidRPr="00FB7C4A">
        <w:rPr>
          <w:rFonts w:ascii="Arial" w:hAnsi="Arial" w:cs="Arial"/>
        </w:rPr>
        <w:t>10.  Paras 14 and 15 – whilst 10 sample “appropriate licence conditions” are cited for AGCs at paragraph 11, this has not been repeated for bingo premises nor betting premises.  This is inconsistent and I suggest that the same provisions be included.</w:t>
      </w:r>
    </w:p>
    <w:p w:rsidR="00B44867" w:rsidRPr="00FB7C4A" w:rsidRDefault="00B44867" w:rsidP="00B44867">
      <w:pPr>
        <w:pStyle w:val="ListParagraph"/>
        <w:rPr>
          <w:rFonts w:ascii="Arial" w:hAnsi="Arial" w:cs="Arial"/>
        </w:rPr>
      </w:pPr>
      <w:r w:rsidRPr="00FB7C4A">
        <w:rPr>
          <w:rFonts w:ascii="Arial" w:hAnsi="Arial" w:cs="Arial"/>
        </w:rPr>
        <w:t> </w:t>
      </w:r>
    </w:p>
    <w:p w:rsidR="00B44867" w:rsidRPr="00FB7C4A" w:rsidRDefault="00B44867" w:rsidP="00B44867">
      <w:pPr>
        <w:jc w:val="both"/>
        <w:rPr>
          <w:rFonts w:ascii="Arial" w:hAnsi="Arial" w:cs="Arial"/>
        </w:rPr>
      </w:pPr>
      <w:r w:rsidRPr="00FB7C4A">
        <w:rPr>
          <w:rFonts w:ascii="Arial" w:hAnsi="Arial" w:cs="Arial"/>
        </w:rPr>
        <w:t xml:space="preserve">I hope that the above proves useful.  </w:t>
      </w:r>
      <w:proofErr w:type="gramStart"/>
      <w:r w:rsidRPr="00FB7C4A">
        <w:rPr>
          <w:rFonts w:ascii="Arial" w:hAnsi="Arial" w:cs="Arial"/>
        </w:rPr>
        <w:t>If you have any questions, please to not hesitate to contact me.</w:t>
      </w:r>
      <w:proofErr w:type="gramEnd"/>
    </w:p>
    <w:p w:rsidR="00B44867" w:rsidRPr="00FB7C4A" w:rsidRDefault="00B44867" w:rsidP="00B44867">
      <w:pPr>
        <w:jc w:val="both"/>
        <w:rPr>
          <w:rFonts w:ascii="Arial" w:hAnsi="Arial" w:cs="Arial"/>
        </w:rPr>
      </w:pPr>
      <w:r w:rsidRPr="00FB7C4A">
        <w:rPr>
          <w:rFonts w:ascii="Arial" w:hAnsi="Arial" w:cs="Arial"/>
        </w:rPr>
        <w:t> </w:t>
      </w:r>
    </w:p>
    <w:p w:rsidR="00B44867" w:rsidRPr="00FB7C4A" w:rsidRDefault="00B44867" w:rsidP="00B44867">
      <w:pPr>
        <w:jc w:val="both"/>
        <w:rPr>
          <w:rFonts w:ascii="Arial" w:hAnsi="Arial" w:cs="Arial"/>
        </w:rPr>
      </w:pPr>
      <w:r w:rsidRPr="00FB7C4A">
        <w:rPr>
          <w:rFonts w:ascii="Arial" w:hAnsi="Arial" w:cs="Arial"/>
        </w:rPr>
        <w:t>Yours faithfully,</w:t>
      </w:r>
    </w:p>
    <w:p w:rsidR="00B44867" w:rsidRPr="00FB7C4A" w:rsidRDefault="00B44867" w:rsidP="00B44867">
      <w:pPr>
        <w:jc w:val="both"/>
        <w:rPr>
          <w:rFonts w:ascii="Arial" w:hAnsi="Arial" w:cs="Arial"/>
        </w:rPr>
      </w:pPr>
      <w:r w:rsidRPr="00FB7C4A">
        <w:rPr>
          <w:rFonts w:ascii="Arial" w:hAnsi="Arial" w:cs="Arial"/>
        </w:rPr>
        <w:t> </w:t>
      </w:r>
    </w:p>
    <w:p w:rsidR="00B44867" w:rsidRPr="00FB7C4A" w:rsidRDefault="00B44867" w:rsidP="00B44867">
      <w:pPr>
        <w:rPr>
          <w:rFonts w:ascii="Arial" w:hAnsi="Arial" w:cs="Arial"/>
        </w:rPr>
      </w:pPr>
      <w:r w:rsidRPr="00FB7C4A">
        <w:rPr>
          <w:rFonts w:ascii="Arial" w:hAnsi="Arial" w:cs="Arial"/>
        </w:rPr>
        <w:t> </w:t>
      </w:r>
    </w:p>
    <w:p w:rsidR="00B44867" w:rsidRPr="00FB7C4A" w:rsidRDefault="00B44867" w:rsidP="00B44867">
      <w:pPr>
        <w:rPr>
          <w:rFonts w:ascii="Arial" w:hAnsi="Arial" w:cs="Arial"/>
        </w:rPr>
      </w:pPr>
      <w:r w:rsidRPr="00FB7C4A">
        <w:rPr>
          <w:rFonts w:ascii="Arial" w:hAnsi="Arial" w:cs="Arial"/>
          <w:color w:val="000000"/>
        </w:rPr>
        <w:t>XXX</w:t>
      </w:r>
    </w:p>
    <w:p w:rsidR="00B44867" w:rsidRPr="00FB7C4A" w:rsidRDefault="00B44867" w:rsidP="00B44867">
      <w:pPr>
        <w:rPr>
          <w:rFonts w:ascii="Arial" w:hAnsi="Arial" w:cs="Arial"/>
        </w:rPr>
      </w:pPr>
      <w:r w:rsidRPr="00FB7C4A">
        <w:rPr>
          <w:rFonts w:ascii="Arial" w:hAnsi="Arial" w:cs="Arial"/>
          <w:color w:val="000000"/>
        </w:rPr>
        <w:t>Group General Counsel</w:t>
      </w:r>
    </w:p>
    <w:p w:rsidR="00B44867" w:rsidRPr="00FB7C4A" w:rsidRDefault="00B44867" w:rsidP="00B44867">
      <w:pPr>
        <w:rPr>
          <w:rFonts w:ascii="Arial" w:hAnsi="Arial" w:cs="Arial"/>
        </w:rPr>
      </w:pPr>
      <w:proofErr w:type="spellStart"/>
      <w:r w:rsidRPr="00FB7C4A">
        <w:rPr>
          <w:rFonts w:ascii="Arial" w:hAnsi="Arial" w:cs="Arial"/>
          <w:b/>
          <w:bCs/>
          <w:color w:val="000000"/>
        </w:rPr>
        <w:t>Novomatic</w:t>
      </w:r>
      <w:proofErr w:type="spellEnd"/>
      <w:r w:rsidRPr="00FB7C4A">
        <w:rPr>
          <w:rFonts w:ascii="Arial" w:hAnsi="Arial" w:cs="Arial"/>
          <w:b/>
          <w:bCs/>
          <w:color w:val="000000"/>
        </w:rPr>
        <w:t xml:space="preserve"> UK</w:t>
      </w:r>
    </w:p>
    <w:p w:rsidR="00B44867" w:rsidRPr="00FB7C4A" w:rsidRDefault="00B44867" w:rsidP="00B44867">
      <w:pPr>
        <w:rPr>
          <w:rFonts w:ascii="Arial" w:hAnsi="Arial" w:cs="Arial"/>
          <w:b/>
          <w:bCs/>
          <w:color w:val="000000"/>
        </w:rPr>
      </w:pPr>
      <w:r w:rsidRPr="00FB7C4A">
        <w:rPr>
          <w:rFonts w:ascii="Arial" w:hAnsi="Arial" w:cs="Arial"/>
          <w:b/>
          <w:bCs/>
          <w:color w:val="000000"/>
        </w:rPr>
        <w:t> </w:t>
      </w:r>
    </w:p>
    <w:p w:rsidR="00B44867" w:rsidRPr="00FB7C4A" w:rsidRDefault="00B44867" w:rsidP="00B44867">
      <w:pPr>
        <w:rPr>
          <w:rFonts w:ascii="Arial" w:hAnsi="Arial" w:cs="Arial"/>
          <w:b/>
          <w:bCs/>
          <w:color w:val="000000"/>
        </w:rPr>
      </w:pPr>
    </w:p>
    <w:p w:rsidR="00B44867" w:rsidRPr="00FB7C4A" w:rsidRDefault="00B44867" w:rsidP="00B44867">
      <w:pPr>
        <w:rPr>
          <w:rFonts w:ascii="Arial" w:hAnsi="Arial" w:cs="Arial"/>
          <w:b/>
          <w:bCs/>
          <w:color w:val="000000"/>
        </w:rPr>
      </w:pPr>
    </w:p>
    <w:p w:rsidR="00B44867" w:rsidRPr="00FB7C4A" w:rsidRDefault="00B44867" w:rsidP="00B44867">
      <w:pPr>
        <w:rPr>
          <w:rFonts w:ascii="Arial" w:hAnsi="Arial" w:cs="Arial"/>
          <w:b/>
          <w:bCs/>
          <w:color w:val="000000"/>
        </w:rPr>
      </w:pPr>
    </w:p>
    <w:p w:rsidR="00B44867" w:rsidRPr="00FB7C4A" w:rsidRDefault="00B44867" w:rsidP="00B44867">
      <w:pPr>
        <w:rPr>
          <w:rFonts w:ascii="Arial" w:eastAsia="Times New Roman" w:hAnsi="Arial" w:cs="Arial"/>
          <w:lang w:val="en-US"/>
        </w:rPr>
      </w:pPr>
      <w:r w:rsidRPr="00FB7C4A">
        <w:rPr>
          <w:rFonts w:ascii="Arial" w:eastAsia="Times New Roman" w:hAnsi="Arial" w:cs="Arial"/>
          <w:b/>
          <w:bCs/>
          <w:lang w:val="en-US"/>
        </w:rPr>
        <w:t>From:</w:t>
      </w:r>
      <w:r w:rsidRPr="00FB7C4A">
        <w:rPr>
          <w:rFonts w:ascii="Arial" w:eastAsia="Times New Roman" w:hAnsi="Arial" w:cs="Arial"/>
          <w:lang w:val="en-US"/>
        </w:rPr>
        <w:t xml:space="preserve"> Simon Rose</w:t>
      </w:r>
      <w:r w:rsidRPr="00FB7C4A">
        <w:rPr>
          <w:rFonts w:ascii="Arial" w:eastAsia="Times New Roman" w:hAnsi="Arial" w:cs="Arial"/>
          <w:lang w:val="en-US"/>
        </w:rPr>
        <w:br/>
      </w:r>
      <w:r w:rsidRPr="00FB7C4A">
        <w:rPr>
          <w:rFonts w:ascii="Arial" w:eastAsia="Times New Roman" w:hAnsi="Arial" w:cs="Arial"/>
          <w:b/>
          <w:bCs/>
          <w:lang w:val="en-US"/>
        </w:rPr>
        <w:t>Sent:</w:t>
      </w:r>
      <w:r w:rsidRPr="00FB7C4A">
        <w:rPr>
          <w:rFonts w:ascii="Arial" w:eastAsia="Times New Roman" w:hAnsi="Arial" w:cs="Arial"/>
          <w:lang w:val="en-US"/>
        </w:rPr>
        <w:t xml:space="preserve"> 28 June 2018 10:29</w:t>
      </w:r>
      <w:r w:rsidRPr="00FB7C4A">
        <w:rPr>
          <w:rFonts w:ascii="Arial" w:eastAsia="Times New Roman" w:hAnsi="Arial" w:cs="Arial"/>
          <w:lang w:val="en-US"/>
        </w:rPr>
        <w:br/>
      </w:r>
      <w:proofErr w:type="gramStart"/>
      <w:r w:rsidRPr="00FB7C4A">
        <w:rPr>
          <w:rFonts w:ascii="Arial" w:eastAsia="Times New Roman" w:hAnsi="Arial" w:cs="Arial"/>
          <w:b/>
          <w:bCs/>
          <w:lang w:val="en-US"/>
        </w:rPr>
        <w:t>To</w:t>
      </w:r>
      <w:proofErr w:type="gramEnd"/>
      <w:r w:rsidRPr="00FB7C4A">
        <w:rPr>
          <w:rFonts w:ascii="Arial" w:eastAsia="Times New Roman" w:hAnsi="Arial" w:cs="Arial"/>
          <w:b/>
          <w:bCs/>
          <w:lang w:val="en-US"/>
        </w:rPr>
        <w:t>:</w:t>
      </w:r>
      <w:r w:rsidRPr="00FB7C4A">
        <w:rPr>
          <w:rFonts w:ascii="Arial" w:eastAsia="Times New Roman" w:hAnsi="Arial" w:cs="Arial"/>
          <w:lang w:val="en-US"/>
        </w:rPr>
        <w:t xml:space="preserve"> license; Paul Walker</w:t>
      </w:r>
      <w:r w:rsidRPr="00FB7C4A">
        <w:rPr>
          <w:rFonts w:ascii="Arial" w:eastAsia="Times New Roman" w:hAnsi="Arial" w:cs="Arial"/>
          <w:lang w:val="en-US"/>
        </w:rPr>
        <w:br/>
      </w:r>
      <w:r w:rsidRPr="00FB7C4A">
        <w:rPr>
          <w:rFonts w:ascii="Arial" w:eastAsia="Times New Roman" w:hAnsi="Arial" w:cs="Arial"/>
          <w:b/>
          <w:bCs/>
          <w:lang w:val="en-US"/>
        </w:rPr>
        <w:t>Subject:</w:t>
      </w:r>
      <w:r w:rsidRPr="00FB7C4A">
        <w:rPr>
          <w:rFonts w:ascii="Arial" w:eastAsia="Times New Roman" w:hAnsi="Arial" w:cs="Arial"/>
          <w:lang w:val="en-US"/>
        </w:rPr>
        <w:t xml:space="preserve"> RE: Consultation on Gambling Act policy for London Borough of Harrow</w:t>
      </w:r>
    </w:p>
    <w:p w:rsidR="00B44867" w:rsidRPr="00FB7C4A" w:rsidRDefault="00B44867" w:rsidP="00B44867">
      <w:pPr>
        <w:rPr>
          <w:rFonts w:ascii="Arial" w:hAnsi="Arial" w:cs="Arial"/>
          <w:lang w:eastAsia="en-US"/>
        </w:rPr>
      </w:pPr>
    </w:p>
    <w:p w:rsidR="00B44867" w:rsidRPr="00FB7C4A" w:rsidRDefault="00B44867" w:rsidP="00B44867">
      <w:pPr>
        <w:rPr>
          <w:rFonts w:ascii="Arial" w:hAnsi="Arial" w:cs="Arial"/>
          <w:color w:val="1F497D"/>
        </w:rPr>
      </w:pPr>
      <w:r w:rsidRPr="00FB7C4A">
        <w:rPr>
          <w:rFonts w:ascii="Arial" w:hAnsi="Arial" w:cs="Arial"/>
          <w:color w:val="1F497D"/>
        </w:rPr>
        <w:t>Jeffrey, Paul,</w:t>
      </w:r>
    </w:p>
    <w:p w:rsidR="00B44867" w:rsidRPr="00FB7C4A" w:rsidRDefault="00B44867" w:rsidP="00B44867">
      <w:pPr>
        <w:rPr>
          <w:rFonts w:ascii="Arial" w:hAnsi="Arial" w:cs="Arial"/>
          <w:color w:val="1F497D"/>
        </w:rPr>
      </w:pPr>
    </w:p>
    <w:p w:rsidR="00B44867" w:rsidRPr="00FB7C4A" w:rsidRDefault="00B44867" w:rsidP="00B44867">
      <w:pPr>
        <w:rPr>
          <w:rFonts w:ascii="Arial" w:hAnsi="Arial" w:cs="Arial"/>
          <w:color w:val="1F497D"/>
        </w:rPr>
      </w:pPr>
      <w:r w:rsidRPr="00FB7C4A">
        <w:rPr>
          <w:rFonts w:ascii="Arial" w:hAnsi="Arial" w:cs="Arial"/>
          <w:color w:val="1F497D"/>
        </w:rPr>
        <w:t>Just for your if I did reply to this and briefly offer my view that there are too many bookmakers, particularly in the higher crime and ASB wards</w:t>
      </w:r>
      <w:proofErr w:type="gramStart"/>
      <w:r w:rsidRPr="00FB7C4A">
        <w:rPr>
          <w:rFonts w:ascii="Arial" w:hAnsi="Arial" w:cs="Arial"/>
          <w:color w:val="1F497D"/>
        </w:rPr>
        <w:t>,  that</w:t>
      </w:r>
      <w:proofErr w:type="gramEnd"/>
      <w:r w:rsidRPr="00FB7C4A">
        <w:rPr>
          <w:rFonts w:ascii="Arial" w:hAnsi="Arial" w:cs="Arial"/>
          <w:color w:val="1F497D"/>
        </w:rPr>
        <w:t xml:space="preserve"> FOBTs are driving crime and ASB and those people who are least able to lose high sums of money are disproportionately those who do. </w:t>
      </w:r>
    </w:p>
    <w:p w:rsidR="00B44867" w:rsidRPr="00FB7C4A" w:rsidRDefault="00B44867" w:rsidP="00B44867">
      <w:pPr>
        <w:rPr>
          <w:rFonts w:ascii="Arial" w:hAnsi="Arial" w:cs="Arial"/>
          <w:color w:val="1F497D"/>
        </w:rPr>
      </w:pPr>
    </w:p>
    <w:p w:rsidR="00B44867" w:rsidRPr="00FB7C4A" w:rsidRDefault="00B44867" w:rsidP="00B44867">
      <w:pPr>
        <w:rPr>
          <w:rFonts w:ascii="Arial" w:hAnsi="Arial" w:cs="Arial"/>
          <w:color w:val="1F497D"/>
        </w:rPr>
      </w:pPr>
      <w:r w:rsidRPr="00FB7C4A">
        <w:rPr>
          <w:rFonts w:ascii="Arial" w:hAnsi="Arial" w:cs="Arial"/>
          <w:color w:val="1F497D"/>
        </w:rPr>
        <w:t>Sorry if this causes you trouble, but I do believe it’s true and its worth raising</w:t>
      </w:r>
    </w:p>
    <w:p w:rsidR="00B44867" w:rsidRPr="00FB7C4A" w:rsidRDefault="00B44867" w:rsidP="00B44867">
      <w:pPr>
        <w:rPr>
          <w:rFonts w:ascii="Arial" w:hAnsi="Arial" w:cs="Arial"/>
          <w:color w:val="1F497D"/>
        </w:rPr>
      </w:pPr>
    </w:p>
    <w:p w:rsidR="00B44867" w:rsidRPr="00FB7C4A" w:rsidRDefault="00B44867" w:rsidP="00B44867">
      <w:pPr>
        <w:rPr>
          <w:rFonts w:ascii="Arial" w:hAnsi="Arial" w:cs="Arial"/>
          <w:color w:val="1F497D"/>
        </w:rPr>
      </w:pPr>
      <w:proofErr w:type="gramStart"/>
      <w:r w:rsidRPr="00FB7C4A">
        <w:rPr>
          <w:rFonts w:ascii="Arial" w:hAnsi="Arial" w:cs="Arial"/>
          <w:color w:val="1F497D"/>
        </w:rPr>
        <w:t>sorry</w:t>
      </w:r>
      <w:proofErr w:type="gramEnd"/>
    </w:p>
    <w:p w:rsidR="00B44867" w:rsidRPr="00FB7C4A" w:rsidRDefault="00B44867" w:rsidP="00B44867">
      <w:pPr>
        <w:rPr>
          <w:rFonts w:ascii="Arial" w:hAnsi="Arial" w:cs="Arial"/>
          <w:color w:val="1F497D"/>
        </w:rPr>
      </w:pPr>
    </w:p>
    <w:p w:rsidR="00B44867" w:rsidRPr="00FB7C4A" w:rsidRDefault="00B44867" w:rsidP="00B44867">
      <w:pPr>
        <w:rPr>
          <w:rFonts w:ascii="Arial" w:hAnsi="Arial" w:cs="Arial"/>
          <w:color w:val="1F497D"/>
        </w:rPr>
      </w:pPr>
      <w:r w:rsidRPr="00FB7C4A">
        <w:rPr>
          <w:rFonts w:ascii="Arial" w:hAnsi="Arial" w:cs="Arial"/>
          <w:color w:val="1F497D"/>
        </w:rPr>
        <w:t>Simon</w:t>
      </w:r>
    </w:p>
    <w:p w:rsidR="00B44867" w:rsidRPr="00FB7C4A" w:rsidRDefault="00B44867" w:rsidP="00B44867">
      <w:pPr>
        <w:rPr>
          <w:rFonts w:ascii="Arial" w:hAnsi="Arial" w:cs="Arial"/>
          <w:color w:val="1F497D"/>
        </w:rPr>
      </w:pPr>
      <w:r w:rsidRPr="00FB7C4A">
        <w:rPr>
          <w:rFonts w:ascii="Arial" w:hAnsi="Arial" w:cs="Arial"/>
          <w:color w:val="1F497D"/>
        </w:rPr>
        <w:t>BCU Commander Barnet Brent and Harrow</w:t>
      </w:r>
    </w:p>
    <w:p w:rsidR="00B44867" w:rsidRPr="00FB7C4A" w:rsidRDefault="00B44867" w:rsidP="00B44867">
      <w:pPr>
        <w:rPr>
          <w:rFonts w:ascii="Arial" w:hAnsi="Arial" w:cs="Arial"/>
        </w:rPr>
      </w:pPr>
    </w:p>
    <w:p w:rsidR="00B44867" w:rsidRPr="00FB7C4A" w:rsidRDefault="00B44867" w:rsidP="00B44867">
      <w:pPr>
        <w:rPr>
          <w:rFonts w:ascii="Arial" w:hAnsi="Arial" w:cs="Arial"/>
        </w:rPr>
      </w:pPr>
    </w:p>
    <w:p w:rsidR="00B44867" w:rsidRPr="00FB7C4A" w:rsidRDefault="00B44867" w:rsidP="00B44867">
      <w:pPr>
        <w:rPr>
          <w:rFonts w:ascii="Arial" w:eastAsia="Times New Roman" w:hAnsi="Arial" w:cs="Arial"/>
          <w:lang w:val="en-US"/>
        </w:rPr>
      </w:pPr>
      <w:r w:rsidRPr="00FB7C4A">
        <w:rPr>
          <w:rFonts w:ascii="Arial" w:eastAsia="Times New Roman" w:hAnsi="Arial" w:cs="Arial"/>
          <w:b/>
          <w:bCs/>
          <w:lang w:val="en-US"/>
        </w:rPr>
        <w:lastRenderedPageBreak/>
        <w:t>From:</w:t>
      </w:r>
      <w:r w:rsidRPr="00FB7C4A">
        <w:rPr>
          <w:rFonts w:ascii="Arial" w:eastAsia="Times New Roman" w:hAnsi="Arial" w:cs="Arial"/>
          <w:lang w:val="en-US"/>
        </w:rPr>
        <w:t xml:space="preserve"> </w:t>
      </w:r>
      <w:proofErr w:type="spellStart"/>
      <w:r w:rsidRPr="00FB7C4A">
        <w:rPr>
          <w:rFonts w:ascii="Arial" w:eastAsia="Times New Roman" w:hAnsi="Arial" w:cs="Arial"/>
          <w:lang w:val="en-US"/>
        </w:rPr>
        <w:t>Louis.Smith</w:t>
      </w:r>
      <w:proofErr w:type="spellEnd"/>
      <w:r w:rsidRPr="00FB7C4A">
        <w:rPr>
          <w:rFonts w:ascii="Arial" w:eastAsia="Times New Roman" w:hAnsi="Arial" w:cs="Arial"/>
          <w:lang w:val="en-US"/>
        </w:rPr>
        <w:t xml:space="preserve"> </w:t>
      </w:r>
      <w:r w:rsidRPr="00FB7C4A">
        <w:rPr>
          <w:rFonts w:ascii="Arial" w:eastAsia="Times New Roman" w:hAnsi="Arial" w:cs="Arial"/>
          <w:lang w:val="en-US"/>
        </w:rPr>
        <w:br/>
      </w:r>
      <w:r w:rsidRPr="00FB7C4A">
        <w:rPr>
          <w:rFonts w:ascii="Arial" w:eastAsia="Times New Roman" w:hAnsi="Arial" w:cs="Arial"/>
          <w:b/>
          <w:bCs/>
          <w:lang w:val="en-US"/>
        </w:rPr>
        <w:t>Sent:</w:t>
      </w:r>
      <w:r w:rsidRPr="00FB7C4A">
        <w:rPr>
          <w:rFonts w:ascii="Arial" w:eastAsia="Times New Roman" w:hAnsi="Arial" w:cs="Arial"/>
          <w:lang w:val="en-US"/>
        </w:rPr>
        <w:t xml:space="preserve"> 29 June 2018 15:01</w:t>
      </w:r>
      <w:r w:rsidRPr="00FB7C4A">
        <w:rPr>
          <w:rFonts w:ascii="Arial" w:eastAsia="Times New Roman" w:hAnsi="Arial" w:cs="Arial"/>
          <w:lang w:val="en-US"/>
        </w:rPr>
        <w:br/>
      </w:r>
      <w:r w:rsidRPr="00FB7C4A">
        <w:rPr>
          <w:rFonts w:ascii="Arial" w:eastAsia="Times New Roman" w:hAnsi="Arial" w:cs="Arial"/>
          <w:b/>
          <w:bCs/>
          <w:lang w:val="en-US"/>
        </w:rPr>
        <w:t>To:</w:t>
      </w:r>
      <w:r w:rsidRPr="00FB7C4A">
        <w:rPr>
          <w:rFonts w:ascii="Arial" w:eastAsia="Times New Roman" w:hAnsi="Arial" w:cs="Arial"/>
          <w:lang w:val="en-US"/>
        </w:rPr>
        <w:t xml:space="preserve"> </w:t>
      </w:r>
      <w:proofErr w:type="spellStart"/>
      <w:r w:rsidRPr="00FB7C4A">
        <w:rPr>
          <w:rFonts w:ascii="Arial" w:eastAsia="Times New Roman" w:hAnsi="Arial" w:cs="Arial"/>
          <w:lang w:val="en-US"/>
        </w:rPr>
        <w:t>Simon.Rose</w:t>
      </w:r>
      <w:proofErr w:type="spellEnd"/>
      <w:r w:rsidRPr="00FB7C4A">
        <w:rPr>
          <w:rFonts w:ascii="Arial" w:eastAsia="Times New Roman" w:hAnsi="Arial" w:cs="Arial"/>
          <w:lang w:val="en-US"/>
        </w:rPr>
        <w:t xml:space="preserve">; Paul Walker; license; </w:t>
      </w:r>
      <w:proofErr w:type="spellStart"/>
      <w:r w:rsidRPr="00FB7C4A">
        <w:rPr>
          <w:rFonts w:ascii="Arial" w:eastAsia="Times New Roman" w:hAnsi="Arial" w:cs="Arial"/>
          <w:lang w:val="en-US"/>
        </w:rPr>
        <w:t>Niki.Walker</w:t>
      </w:r>
      <w:proofErr w:type="spellEnd"/>
      <w:r w:rsidRPr="00FB7C4A">
        <w:rPr>
          <w:rFonts w:ascii="Arial" w:eastAsia="Times New Roman" w:hAnsi="Arial" w:cs="Arial"/>
          <w:lang w:val="en-US"/>
        </w:rPr>
        <w:t>; Gemma O'Dowd</w:t>
      </w:r>
      <w:r w:rsidRPr="00FB7C4A">
        <w:rPr>
          <w:rFonts w:ascii="Arial" w:eastAsia="Times New Roman" w:hAnsi="Arial" w:cs="Arial"/>
          <w:lang w:val="en-US"/>
        </w:rPr>
        <w:br/>
      </w:r>
      <w:r w:rsidRPr="00FB7C4A">
        <w:rPr>
          <w:rFonts w:ascii="Arial" w:eastAsia="Times New Roman" w:hAnsi="Arial" w:cs="Arial"/>
          <w:b/>
          <w:bCs/>
          <w:lang w:val="en-US"/>
        </w:rPr>
        <w:t>Cc:</w:t>
      </w:r>
      <w:r w:rsidRPr="00FB7C4A">
        <w:rPr>
          <w:rFonts w:ascii="Arial" w:eastAsia="Times New Roman" w:hAnsi="Arial" w:cs="Arial"/>
          <w:lang w:val="en-US"/>
        </w:rPr>
        <w:t xml:space="preserve"> </w:t>
      </w:r>
      <w:proofErr w:type="spellStart"/>
      <w:r w:rsidRPr="00FB7C4A">
        <w:rPr>
          <w:rFonts w:ascii="Arial" w:eastAsia="Times New Roman" w:hAnsi="Arial" w:cs="Arial"/>
          <w:lang w:val="en-US"/>
        </w:rPr>
        <w:t>Oonagh.M.Vyse</w:t>
      </w:r>
      <w:proofErr w:type="spellEnd"/>
      <w:r w:rsidRPr="00FB7C4A">
        <w:rPr>
          <w:rFonts w:ascii="Arial" w:eastAsia="Times New Roman" w:hAnsi="Arial" w:cs="Arial"/>
          <w:lang w:val="en-US"/>
        </w:rPr>
        <w:t xml:space="preserve"> </w:t>
      </w:r>
      <w:r w:rsidRPr="00FB7C4A">
        <w:rPr>
          <w:rFonts w:ascii="Arial" w:eastAsia="Times New Roman" w:hAnsi="Arial" w:cs="Arial"/>
          <w:lang w:val="en-US"/>
        </w:rPr>
        <w:br/>
      </w:r>
      <w:r w:rsidRPr="00FB7C4A">
        <w:rPr>
          <w:rFonts w:ascii="Arial" w:eastAsia="Times New Roman" w:hAnsi="Arial" w:cs="Arial"/>
          <w:b/>
          <w:bCs/>
          <w:lang w:val="en-US"/>
        </w:rPr>
        <w:t>Subject:</w:t>
      </w:r>
      <w:r w:rsidRPr="00FB7C4A">
        <w:rPr>
          <w:rFonts w:ascii="Arial" w:eastAsia="Times New Roman" w:hAnsi="Arial" w:cs="Arial"/>
          <w:lang w:val="en-US"/>
        </w:rPr>
        <w:t xml:space="preserve"> RE: Consultation on Gambling Act policy for London Borough of Harrow</w:t>
      </w:r>
    </w:p>
    <w:p w:rsidR="00B44867" w:rsidRPr="00FB7C4A" w:rsidRDefault="00B44867" w:rsidP="00B44867">
      <w:pPr>
        <w:rPr>
          <w:rFonts w:ascii="Arial" w:hAnsi="Arial" w:cs="Arial"/>
          <w:lang w:eastAsia="en-US"/>
        </w:rPr>
      </w:pPr>
    </w:p>
    <w:p w:rsidR="00B44867" w:rsidRPr="00FB7C4A" w:rsidRDefault="00B44867" w:rsidP="00B44867">
      <w:pPr>
        <w:rPr>
          <w:rFonts w:ascii="Arial" w:hAnsi="Arial" w:cs="Arial"/>
          <w:color w:val="1F497D"/>
        </w:rPr>
      </w:pPr>
      <w:r w:rsidRPr="00FB7C4A">
        <w:rPr>
          <w:rFonts w:ascii="Arial" w:hAnsi="Arial" w:cs="Arial"/>
          <w:color w:val="1F497D"/>
        </w:rPr>
        <w:t>Simon</w:t>
      </w:r>
    </w:p>
    <w:p w:rsidR="00B44867" w:rsidRPr="00FB7C4A" w:rsidRDefault="00B44867" w:rsidP="00B44867">
      <w:pPr>
        <w:rPr>
          <w:rFonts w:ascii="Arial" w:hAnsi="Arial" w:cs="Arial"/>
          <w:color w:val="1F497D"/>
        </w:rPr>
      </w:pPr>
    </w:p>
    <w:p w:rsidR="00B44867" w:rsidRPr="00FB7C4A" w:rsidRDefault="00B44867" w:rsidP="00B44867">
      <w:pPr>
        <w:rPr>
          <w:rFonts w:ascii="Arial" w:hAnsi="Arial" w:cs="Arial"/>
          <w:color w:val="1F497D"/>
        </w:rPr>
      </w:pPr>
      <w:proofErr w:type="gramStart"/>
      <w:r w:rsidRPr="00FB7C4A">
        <w:rPr>
          <w:rFonts w:ascii="Arial" w:hAnsi="Arial" w:cs="Arial"/>
          <w:color w:val="1F497D"/>
        </w:rPr>
        <w:t>Agreed.</w:t>
      </w:r>
      <w:proofErr w:type="gramEnd"/>
      <w:r w:rsidRPr="00FB7C4A">
        <w:rPr>
          <w:rFonts w:ascii="Arial" w:hAnsi="Arial" w:cs="Arial"/>
          <w:color w:val="1F497D"/>
        </w:rPr>
        <w:t xml:space="preserve"> I think licensing across the board has a real part to play in protecting the most vulnerable, specifically in preventing the cynical saturation of licensed premises (betting shops and pubs) in the very areas they will cause most trouble for the residents. The companies choose those areas as they make the most money. I think that is where the debate has to begin and the policy be shaped to manage the risks down.</w:t>
      </w:r>
    </w:p>
    <w:p w:rsidR="00B44867" w:rsidRPr="00FB7C4A" w:rsidRDefault="00B44867" w:rsidP="00B44867">
      <w:pPr>
        <w:rPr>
          <w:rFonts w:ascii="Arial" w:hAnsi="Arial" w:cs="Arial"/>
          <w:color w:val="1F497D"/>
        </w:rPr>
      </w:pPr>
    </w:p>
    <w:p w:rsidR="00B44867" w:rsidRPr="00FB7C4A" w:rsidRDefault="00B44867" w:rsidP="00B44867">
      <w:pPr>
        <w:rPr>
          <w:rFonts w:ascii="Arial" w:hAnsi="Arial" w:cs="Arial"/>
          <w:color w:val="1F497D"/>
        </w:rPr>
      </w:pPr>
      <w:r w:rsidRPr="00FB7C4A">
        <w:rPr>
          <w:rFonts w:ascii="Arial" w:hAnsi="Arial" w:cs="Arial"/>
          <w:color w:val="1F497D"/>
        </w:rPr>
        <w:t xml:space="preserve">Once I have </w:t>
      </w:r>
      <w:proofErr w:type="spellStart"/>
      <w:r w:rsidRPr="00FB7C4A">
        <w:rPr>
          <w:rFonts w:ascii="Arial" w:hAnsi="Arial" w:cs="Arial"/>
          <w:color w:val="1F497D"/>
        </w:rPr>
        <w:t>Insps</w:t>
      </w:r>
      <w:proofErr w:type="spellEnd"/>
      <w:r w:rsidRPr="00FB7C4A">
        <w:rPr>
          <w:rFonts w:ascii="Arial" w:hAnsi="Arial" w:cs="Arial"/>
          <w:color w:val="1F497D"/>
        </w:rPr>
        <w:t xml:space="preserve"> names, I will ask the lead Insp to take this issue up.</w:t>
      </w:r>
    </w:p>
    <w:p w:rsidR="00B44867" w:rsidRPr="00FB7C4A" w:rsidRDefault="00B44867" w:rsidP="00B44867">
      <w:pPr>
        <w:rPr>
          <w:rFonts w:ascii="Arial" w:hAnsi="Arial" w:cs="Arial"/>
          <w:color w:val="1F497D"/>
        </w:rPr>
      </w:pPr>
    </w:p>
    <w:p w:rsidR="00B44867" w:rsidRPr="00FB7C4A" w:rsidRDefault="00B44867" w:rsidP="00B44867">
      <w:pPr>
        <w:rPr>
          <w:rFonts w:ascii="Arial" w:hAnsi="Arial" w:cs="Arial"/>
          <w:color w:val="1F497D"/>
        </w:rPr>
      </w:pPr>
      <w:r w:rsidRPr="00FB7C4A">
        <w:rPr>
          <w:rFonts w:ascii="Arial" w:hAnsi="Arial" w:cs="Arial"/>
          <w:color w:val="1F497D"/>
        </w:rPr>
        <w:t>Louis</w:t>
      </w:r>
    </w:p>
    <w:p w:rsidR="00B44867" w:rsidRDefault="00B44867" w:rsidP="00B44867">
      <w:pPr>
        <w:rPr>
          <w:rFonts w:ascii="Arial" w:hAnsi="Arial" w:cs="Arial"/>
        </w:rPr>
      </w:pPr>
    </w:p>
    <w:p w:rsidR="00FB7C4A" w:rsidRDefault="00FB7C4A" w:rsidP="00B44867">
      <w:pPr>
        <w:rPr>
          <w:rFonts w:ascii="Arial" w:hAnsi="Arial" w:cs="Arial"/>
        </w:rPr>
      </w:pPr>
    </w:p>
    <w:p w:rsidR="00FB7C4A" w:rsidRDefault="00FB7C4A" w:rsidP="00B44867">
      <w:pPr>
        <w:rPr>
          <w:rFonts w:ascii="Arial" w:hAnsi="Arial" w:cs="Arial"/>
        </w:rPr>
      </w:pPr>
    </w:p>
    <w:p w:rsidR="00FB7C4A" w:rsidRDefault="00FB7C4A" w:rsidP="00B44867">
      <w:pPr>
        <w:rPr>
          <w:rFonts w:ascii="Arial" w:hAnsi="Arial" w:cs="Arial"/>
        </w:rPr>
      </w:pPr>
    </w:p>
    <w:p w:rsidR="00FB7C4A" w:rsidRDefault="00FB7C4A" w:rsidP="00B44867">
      <w:pPr>
        <w:rPr>
          <w:rFonts w:ascii="Arial" w:hAnsi="Arial" w:cs="Arial"/>
        </w:rPr>
      </w:pPr>
    </w:p>
    <w:p w:rsidR="00FB7C4A" w:rsidRDefault="00FB7C4A" w:rsidP="00B44867">
      <w:pPr>
        <w:rPr>
          <w:rFonts w:ascii="Arial" w:hAnsi="Arial" w:cs="Arial"/>
        </w:rPr>
      </w:pPr>
    </w:p>
    <w:p w:rsidR="00FB7C4A" w:rsidRDefault="00FB7C4A" w:rsidP="00B44867">
      <w:pPr>
        <w:rPr>
          <w:rFonts w:ascii="Arial" w:hAnsi="Arial" w:cs="Arial"/>
        </w:rPr>
      </w:pPr>
    </w:p>
    <w:p w:rsidR="00FB7C4A" w:rsidRDefault="00FB7C4A" w:rsidP="00B44867">
      <w:pPr>
        <w:rPr>
          <w:rFonts w:ascii="Arial" w:hAnsi="Arial" w:cs="Arial"/>
        </w:rPr>
      </w:pPr>
    </w:p>
    <w:p w:rsidR="00FB7C4A" w:rsidRDefault="00FB7C4A" w:rsidP="00B44867">
      <w:pPr>
        <w:rPr>
          <w:rFonts w:ascii="Arial" w:hAnsi="Arial" w:cs="Arial"/>
        </w:rPr>
      </w:pPr>
    </w:p>
    <w:p w:rsidR="00FB7C4A" w:rsidRDefault="00FB7C4A" w:rsidP="00B44867">
      <w:pPr>
        <w:rPr>
          <w:rFonts w:ascii="Arial" w:hAnsi="Arial" w:cs="Arial"/>
        </w:rPr>
      </w:pPr>
    </w:p>
    <w:p w:rsidR="00FB7C4A" w:rsidRDefault="00FB7C4A" w:rsidP="00B44867">
      <w:pPr>
        <w:rPr>
          <w:rFonts w:ascii="Arial" w:hAnsi="Arial" w:cs="Arial"/>
        </w:rPr>
      </w:pPr>
    </w:p>
    <w:p w:rsidR="00FB7C4A" w:rsidRDefault="00FB7C4A" w:rsidP="00B44867">
      <w:pPr>
        <w:rPr>
          <w:rFonts w:ascii="Arial" w:hAnsi="Arial" w:cs="Arial"/>
        </w:rPr>
      </w:pPr>
    </w:p>
    <w:p w:rsidR="00FB7C4A" w:rsidRDefault="00FB7C4A" w:rsidP="00B44867">
      <w:pPr>
        <w:rPr>
          <w:rFonts w:ascii="Arial" w:hAnsi="Arial" w:cs="Arial"/>
        </w:rPr>
      </w:pPr>
    </w:p>
    <w:p w:rsidR="00FB7C4A" w:rsidRDefault="00FB7C4A" w:rsidP="00B44867">
      <w:pPr>
        <w:rPr>
          <w:rFonts w:ascii="Arial" w:hAnsi="Arial" w:cs="Arial"/>
        </w:rPr>
      </w:pPr>
    </w:p>
    <w:p w:rsidR="00FB7C4A" w:rsidRDefault="00FB7C4A" w:rsidP="00B44867">
      <w:pPr>
        <w:rPr>
          <w:rFonts w:ascii="Arial" w:hAnsi="Arial" w:cs="Arial"/>
        </w:rPr>
      </w:pPr>
    </w:p>
    <w:p w:rsidR="00FB7C4A" w:rsidRDefault="00FB7C4A" w:rsidP="00B44867">
      <w:pPr>
        <w:rPr>
          <w:rFonts w:ascii="Arial" w:hAnsi="Arial" w:cs="Arial"/>
        </w:rPr>
      </w:pPr>
    </w:p>
    <w:p w:rsidR="00FB7C4A" w:rsidRDefault="00FB7C4A" w:rsidP="00B44867">
      <w:pPr>
        <w:rPr>
          <w:rFonts w:ascii="Arial" w:hAnsi="Arial" w:cs="Arial"/>
        </w:rPr>
      </w:pPr>
    </w:p>
    <w:p w:rsidR="00FB7C4A" w:rsidRDefault="00FB7C4A" w:rsidP="00B44867">
      <w:pPr>
        <w:rPr>
          <w:rFonts w:ascii="Arial" w:hAnsi="Arial" w:cs="Arial"/>
        </w:rPr>
      </w:pPr>
    </w:p>
    <w:p w:rsidR="00FB7C4A" w:rsidRDefault="00FB7C4A" w:rsidP="00B44867">
      <w:pPr>
        <w:rPr>
          <w:rFonts w:ascii="Arial" w:hAnsi="Arial" w:cs="Arial"/>
        </w:rPr>
      </w:pPr>
    </w:p>
    <w:p w:rsidR="00FB7C4A" w:rsidRDefault="00FB7C4A" w:rsidP="00B44867">
      <w:pPr>
        <w:rPr>
          <w:rFonts w:ascii="Arial" w:hAnsi="Arial" w:cs="Arial"/>
        </w:rPr>
      </w:pPr>
    </w:p>
    <w:p w:rsidR="00FB7C4A" w:rsidRDefault="00FB7C4A" w:rsidP="00B44867">
      <w:pPr>
        <w:rPr>
          <w:rFonts w:ascii="Arial" w:hAnsi="Arial" w:cs="Arial"/>
        </w:rPr>
      </w:pPr>
    </w:p>
    <w:p w:rsidR="00FB7C4A" w:rsidRDefault="00FB7C4A" w:rsidP="00B44867">
      <w:pPr>
        <w:rPr>
          <w:rFonts w:ascii="Arial" w:hAnsi="Arial" w:cs="Arial"/>
        </w:rPr>
      </w:pPr>
    </w:p>
    <w:p w:rsidR="00FB7C4A" w:rsidRDefault="00FB7C4A" w:rsidP="00B44867">
      <w:pPr>
        <w:rPr>
          <w:rFonts w:ascii="Arial" w:hAnsi="Arial" w:cs="Arial"/>
        </w:rPr>
      </w:pPr>
    </w:p>
    <w:p w:rsidR="00FB7C4A" w:rsidRDefault="00FB7C4A" w:rsidP="00B44867">
      <w:pPr>
        <w:rPr>
          <w:rFonts w:ascii="Arial" w:hAnsi="Arial" w:cs="Arial"/>
        </w:rPr>
      </w:pPr>
    </w:p>
    <w:p w:rsidR="00FB7C4A" w:rsidRDefault="00FB7C4A" w:rsidP="00B44867">
      <w:pPr>
        <w:rPr>
          <w:rFonts w:ascii="Arial" w:hAnsi="Arial" w:cs="Arial"/>
        </w:rPr>
      </w:pPr>
    </w:p>
    <w:p w:rsidR="00FB7C4A" w:rsidRDefault="00FB7C4A" w:rsidP="00B44867">
      <w:pPr>
        <w:rPr>
          <w:rFonts w:ascii="Arial" w:hAnsi="Arial" w:cs="Arial"/>
        </w:rPr>
      </w:pPr>
    </w:p>
    <w:p w:rsidR="00FB7C4A" w:rsidRDefault="00FB7C4A" w:rsidP="00B44867">
      <w:pPr>
        <w:rPr>
          <w:rFonts w:ascii="Arial" w:hAnsi="Arial" w:cs="Arial"/>
        </w:rPr>
      </w:pPr>
    </w:p>
    <w:p w:rsidR="00FB7C4A" w:rsidRDefault="00FB7C4A" w:rsidP="00B44867">
      <w:pPr>
        <w:rPr>
          <w:rFonts w:ascii="Arial" w:hAnsi="Arial" w:cs="Arial"/>
        </w:rPr>
      </w:pPr>
    </w:p>
    <w:p w:rsidR="00FB7C4A" w:rsidRDefault="00FB7C4A" w:rsidP="00B44867">
      <w:pPr>
        <w:rPr>
          <w:rFonts w:ascii="Arial" w:hAnsi="Arial" w:cs="Arial"/>
        </w:rPr>
      </w:pPr>
    </w:p>
    <w:p w:rsidR="00FB7C4A" w:rsidRDefault="00FB7C4A" w:rsidP="00B44867">
      <w:pPr>
        <w:rPr>
          <w:rFonts w:ascii="Arial" w:hAnsi="Arial" w:cs="Arial"/>
        </w:rPr>
      </w:pPr>
    </w:p>
    <w:p w:rsidR="00FB7C4A" w:rsidRDefault="00FB7C4A" w:rsidP="00B44867">
      <w:pPr>
        <w:rPr>
          <w:rFonts w:ascii="Arial" w:hAnsi="Arial" w:cs="Arial"/>
        </w:rPr>
      </w:pPr>
    </w:p>
    <w:p w:rsidR="00FB7C4A" w:rsidRDefault="00FB7C4A" w:rsidP="00B44867">
      <w:pPr>
        <w:rPr>
          <w:rFonts w:ascii="Arial" w:hAnsi="Arial" w:cs="Arial"/>
        </w:rPr>
      </w:pPr>
    </w:p>
    <w:p w:rsidR="00FB7C4A" w:rsidRDefault="00FB7C4A" w:rsidP="00B44867">
      <w:pPr>
        <w:rPr>
          <w:rFonts w:ascii="Arial" w:hAnsi="Arial" w:cs="Arial"/>
        </w:rPr>
      </w:pPr>
    </w:p>
    <w:p w:rsidR="00FB7C4A" w:rsidRDefault="00FB7C4A" w:rsidP="00B44867">
      <w:pPr>
        <w:rPr>
          <w:rFonts w:ascii="Arial" w:hAnsi="Arial" w:cs="Arial"/>
        </w:rPr>
      </w:pPr>
    </w:p>
    <w:p w:rsidR="00FB7C4A" w:rsidRDefault="00FB7C4A" w:rsidP="00B44867">
      <w:pPr>
        <w:rPr>
          <w:rFonts w:ascii="Arial" w:hAnsi="Arial" w:cs="Arial"/>
        </w:rPr>
      </w:pPr>
    </w:p>
    <w:p w:rsidR="00FB7C4A" w:rsidRDefault="00FB7C4A" w:rsidP="00B44867">
      <w:pPr>
        <w:rPr>
          <w:rFonts w:ascii="Arial" w:hAnsi="Arial" w:cs="Arial"/>
        </w:rPr>
      </w:pPr>
    </w:p>
    <w:p w:rsidR="00FB7C4A" w:rsidRDefault="00FB7C4A" w:rsidP="00B44867">
      <w:pPr>
        <w:rPr>
          <w:rFonts w:ascii="Arial" w:hAnsi="Arial" w:cs="Arial"/>
        </w:rPr>
      </w:pPr>
    </w:p>
    <w:p w:rsidR="00FB7C4A" w:rsidRDefault="00FB7C4A" w:rsidP="00B44867">
      <w:pPr>
        <w:rPr>
          <w:rFonts w:ascii="Arial" w:hAnsi="Arial" w:cs="Arial"/>
        </w:rPr>
      </w:pPr>
    </w:p>
    <w:p w:rsidR="00FB7C4A" w:rsidRDefault="00FB7C4A" w:rsidP="00B44867">
      <w:pPr>
        <w:rPr>
          <w:rFonts w:ascii="Arial" w:hAnsi="Arial" w:cs="Arial"/>
        </w:rPr>
        <w:sectPr w:rsidR="00FB7C4A">
          <w:pgSz w:w="11906" w:h="16838"/>
          <w:pgMar w:top="1440" w:right="1440" w:bottom="1440" w:left="1440" w:header="708" w:footer="708" w:gutter="0"/>
          <w:cols w:space="708"/>
          <w:docGrid w:linePitch="360"/>
        </w:sectPr>
      </w:pPr>
    </w:p>
    <w:p w:rsidR="00FB7C4A" w:rsidRDefault="00FB7C4A" w:rsidP="00B44867">
      <w:pPr>
        <w:rPr>
          <w:rFonts w:ascii="Arial" w:hAnsi="Arial" w:cs="Arial"/>
          <w:b/>
        </w:rPr>
      </w:pPr>
      <w:r w:rsidRPr="00FB7C4A">
        <w:rPr>
          <w:rFonts w:ascii="Arial" w:hAnsi="Arial" w:cs="Arial"/>
          <w:b/>
        </w:rPr>
        <w:lastRenderedPageBreak/>
        <w:t>SECTION 3 – CONSULTATION RESPONSE FEEDBACK</w:t>
      </w:r>
    </w:p>
    <w:p w:rsidR="00FB7C4A" w:rsidRDefault="00FB7C4A" w:rsidP="00B44867">
      <w:pPr>
        <w:rPr>
          <w:rFonts w:ascii="Arial" w:hAnsi="Arial" w:cs="Arial"/>
          <w:b/>
        </w:rPr>
      </w:pPr>
    </w:p>
    <w:tbl>
      <w:tblPr>
        <w:tblStyle w:val="TableGrid"/>
        <w:tblW w:w="0" w:type="auto"/>
        <w:tblLook w:val="04A0" w:firstRow="1" w:lastRow="0" w:firstColumn="1" w:lastColumn="0" w:noHBand="0" w:noVBand="1"/>
      </w:tblPr>
      <w:tblGrid>
        <w:gridCol w:w="660"/>
        <w:gridCol w:w="2425"/>
        <w:gridCol w:w="7545"/>
        <w:gridCol w:w="3544"/>
      </w:tblGrid>
      <w:tr w:rsidR="00FB7C4A" w:rsidTr="00FB7C4A">
        <w:tc>
          <w:tcPr>
            <w:tcW w:w="660" w:type="dxa"/>
          </w:tcPr>
          <w:p w:rsidR="00FB7C4A" w:rsidRDefault="00FB7C4A" w:rsidP="00B44867">
            <w:pPr>
              <w:rPr>
                <w:rFonts w:ascii="Arial" w:hAnsi="Arial" w:cs="Arial"/>
              </w:rPr>
            </w:pPr>
            <w:r>
              <w:rPr>
                <w:rFonts w:ascii="Arial" w:hAnsi="Arial" w:cs="Arial"/>
              </w:rPr>
              <w:t>No.</w:t>
            </w:r>
          </w:p>
        </w:tc>
        <w:tc>
          <w:tcPr>
            <w:tcW w:w="2425" w:type="dxa"/>
          </w:tcPr>
          <w:p w:rsidR="00FB7C4A" w:rsidRDefault="00FB7C4A" w:rsidP="00B44867">
            <w:pPr>
              <w:rPr>
                <w:rFonts w:ascii="Arial" w:hAnsi="Arial" w:cs="Arial"/>
              </w:rPr>
            </w:pPr>
            <w:r>
              <w:rPr>
                <w:rFonts w:ascii="Arial" w:hAnsi="Arial" w:cs="Arial"/>
              </w:rPr>
              <w:t>Consultee</w:t>
            </w:r>
          </w:p>
        </w:tc>
        <w:tc>
          <w:tcPr>
            <w:tcW w:w="7545" w:type="dxa"/>
          </w:tcPr>
          <w:p w:rsidR="00FB7C4A" w:rsidRDefault="00FB7C4A" w:rsidP="00B44867">
            <w:pPr>
              <w:rPr>
                <w:rFonts w:ascii="Arial" w:hAnsi="Arial" w:cs="Arial"/>
              </w:rPr>
            </w:pPr>
            <w:r>
              <w:rPr>
                <w:rFonts w:ascii="Arial" w:hAnsi="Arial" w:cs="Arial"/>
              </w:rPr>
              <w:t>Response</w:t>
            </w:r>
          </w:p>
        </w:tc>
        <w:tc>
          <w:tcPr>
            <w:tcW w:w="3544" w:type="dxa"/>
          </w:tcPr>
          <w:p w:rsidR="00FB7C4A" w:rsidRDefault="00FB7C4A" w:rsidP="00B44867">
            <w:pPr>
              <w:rPr>
                <w:rFonts w:ascii="Arial" w:hAnsi="Arial" w:cs="Arial"/>
              </w:rPr>
            </w:pPr>
            <w:r>
              <w:rPr>
                <w:rFonts w:ascii="Arial" w:hAnsi="Arial" w:cs="Arial"/>
              </w:rPr>
              <w:t>Feedback from Authority</w:t>
            </w:r>
          </w:p>
        </w:tc>
      </w:tr>
      <w:tr w:rsidR="00FB7C4A" w:rsidTr="00FB7C4A">
        <w:tc>
          <w:tcPr>
            <w:tcW w:w="660" w:type="dxa"/>
          </w:tcPr>
          <w:p w:rsidR="00FB7C4A" w:rsidRDefault="00FB7C4A" w:rsidP="00B44867">
            <w:pPr>
              <w:rPr>
                <w:rFonts w:ascii="Arial" w:hAnsi="Arial" w:cs="Arial"/>
              </w:rPr>
            </w:pPr>
            <w:r>
              <w:rPr>
                <w:rFonts w:ascii="Arial" w:hAnsi="Arial" w:cs="Arial"/>
              </w:rPr>
              <w:t>1.</w:t>
            </w:r>
          </w:p>
        </w:tc>
        <w:tc>
          <w:tcPr>
            <w:tcW w:w="2425" w:type="dxa"/>
          </w:tcPr>
          <w:p w:rsidR="00FB7C4A" w:rsidRDefault="00FB7C4A" w:rsidP="00B44867">
            <w:pPr>
              <w:rPr>
                <w:rFonts w:ascii="Arial" w:hAnsi="Arial" w:cs="Arial"/>
              </w:rPr>
            </w:pPr>
            <w:proofErr w:type="spellStart"/>
            <w:r>
              <w:rPr>
                <w:rFonts w:ascii="Arial" w:hAnsi="Arial" w:cs="Arial"/>
              </w:rPr>
              <w:t>Novomatic</w:t>
            </w:r>
            <w:proofErr w:type="spellEnd"/>
          </w:p>
        </w:tc>
        <w:tc>
          <w:tcPr>
            <w:tcW w:w="7545" w:type="dxa"/>
          </w:tcPr>
          <w:p w:rsidR="00FB7C4A" w:rsidRDefault="00FB7C4A" w:rsidP="00B44867">
            <w:pPr>
              <w:rPr>
                <w:rFonts w:ascii="Arial" w:hAnsi="Arial" w:cs="Arial"/>
              </w:rPr>
            </w:pPr>
            <w:r w:rsidRPr="00FB7C4A">
              <w:rPr>
                <w:rFonts w:ascii="Arial" w:hAnsi="Arial" w:cs="Arial"/>
              </w:rPr>
              <w:t xml:space="preserve">As the Authority will appreciate, in matters of regulation under the Gambling Act 2005 (the “Act”), it is subject to the Regulators’ Code.  That code imposes a number of obligations on the Authority, including one that it should carry out its activities in a way that it supports those it regulates to comply and grow.  Additionally, when designing and reviewing policies, the Authority must among other things, understand and minimise the negative economic impact of its regulatory activities and regulate and minimise the costs of compliance of those it regulates.  Further, the Authority should take an evidence-based approach in determining priority risks and recognise the compliance record of those it regulates.  I do not think there is reference to the Regulators’ Code in the current Draft and suggest that it would be appropriate </w:t>
            </w:r>
            <w:proofErr w:type="gramStart"/>
            <w:r w:rsidRPr="00FB7C4A">
              <w:rPr>
                <w:rFonts w:ascii="Arial" w:hAnsi="Arial" w:cs="Arial"/>
              </w:rPr>
              <w:t>to  incorporate</w:t>
            </w:r>
            <w:proofErr w:type="gramEnd"/>
            <w:r w:rsidRPr="00FB7C4A">
              <w:rPr>
                <w:rFonts w:ascii="Arial" w:hAnsi="Arial" w:cs="Arial"/>
              </w:rPr>
              <w:t xml:space="preserve"> it.</w:t>
            </w:r>
          </w:p>
        </w:tc>
        <w:tc>
          <w:tcPr>
            <w:tcW w:w="3544" w:type="dxa"/>
          </w:tcPr>
          <w:p w:rsidR="00FB7C4A" w:rsidRDefault="000A611C" w:rsidP="00B44867">
            <w:pPr>
              <w:rPr>
                <w:rFonts w:ascii="Arial" w:hAnsi="Arial" w:cs="Arial"/>
              </w:rPr>
            </w:pPr>
            <w:r>
              <w:rPr>
                <w:rFonts w:ascii="Arial" w:hAnsi="Arial" w:cs="Arial"/>
              </w:rPr>
              <w:t>The Council Enforcement Services</w:t>
            </w:r>
            <w:r w:rsidR="003A3C98">
              <w:rPr>
                <w:rFonts w:ascii="Arial" w:hAnsi="Arial" w:cs="Arial"/>
              </w:rPr>
              <w:t xml:space="preserve"> are governed by a clear Enforcement Policy which includes the Regulators’ Code so there is no specific need to include it within other policies</w:t>
            </w:r>
          </w:p>
        </w:tc>
      </w:tr>
      <w:tr w:rsidR="00FB7C4A" w:rsidTr="00FB7C4A">
        <w:tc>
          <w:tcPr>
            <w:tcW w:w="660" w:type="dxa"/>
          </w:tcPr>
          <w:p w:rsidR="00FB7C4A" w:rsidRDefault="00CE39A1" w:rsidP="00B44867">
            <w:pPr>
              <w:rPr>
                <w:rFonts w:ascii="Arial" w:hAnsi="Arial" w:cs="Arial"/>
              </w:rPr>
            </w:pPr>
            <w:r>
              <w:rPr>
                <w:rFonts w:ascii="Arial" w:hAnsi="Arial" w:cs="Arial"/>
              </w:rPr>
              <w:t>2.</w:t>
            </w:r>
          </w:p>
        </w:tc>
        <w:tc>
          <w:tcPr>
            <w:tcW w:w="2425" w:type="dxa"/>
          </w:tcPr>
          <w:p w:rsidR="00FB7C4A" w:rsidRDefault="00FB7C4A" w:rsidP="00B44867">
            <w:pPr>
              <w:rPr>
                <w:rFonts w:ascii="Arial" w:hAnsi="Arial" w:cs="Arial"/>
              </w:rPr>
            </w:pPr>
          </w:p>
        </w:tc>
        <w:tc>
          <w:tcPr>
            <w:tcW w:w="7545" w:type="dxa"/>
          </w:tcPr>
          <w:p w:rsidR="00FB7C4A" w:rsidRDefault="00FB7C4A" w:rsidP="00B44867">
            <w:pPr>
              <w:rPr>
                <w:rFonts w:ascii="Arial" w:hAnsi="Arial" w:cs="Arial"/>
              </w:rPr>
            </w:pPr>
            <w:r>
              <w:rPr>
                <w:rFonts w:ascii="Arial" w:hAnsi="Arial" w:cs="Arial"/>
              </w:rPr>
              <w:t>Pa</w:t>
            </w:r>
            <w:r w:rsidRPr="00FB7C4A">
              <w:rPr>
                <w:rFonts w:ascii="Arial" w:hAnsi="Arial" w:cs="Arial"/>
              </w:rPr>
              <w:t>ra 3.5 – children are of course permitted to access certain gambling premises and in some premises are entitled to engage in a limited range of gambling activities.  It might be helpful for this to be made clear. </w:t>
            </w:r>
          </w:p>
        </w:tc>
        <w:tc>
          <w:tcPr>
            <w:tcW w:w="3544" w:type="dxa"/>
          </w:tcPr>
          <w:p w:rsidR="00FB7C4A" w:rsidRDefault="003A3C98" w:rsidP="00B44867">
            <w:pPr>
              <w:rPr>
                <w:rFonts w:ascii="Arial" w:hAnsi="Arial" w:cs="Arial"/>
              </w:rPr>
            </w:pPr>
            <w:r>
              <w:rPr>
                <w:rFonts w:ascii="Arial" w:hAnsi="Arial" w:cs="Arial"/>
              </w:rPr>
              <w:t>This is already set out in section 3.20 of the Policy</w:t>
            </w:r>
          </w:p>
        </w:tc>
      </w:tr>
      <w:tr w:rsidR="00FB7C4A" w:rsidTr="00FB7C4A">
        <w:tc>
          <w:tcPr>
            <w:tcW w:w="660" w:type="dxa"/>
          </w:tcPr>
          <w:p w:rsidR="00FB7C4A" w:rsidRDefault="00CE39A1" w:rsidP="00B44867">
            <w:pPr>
              <w:rPr>
                <w:rFonts w:ascii="Arial" w:hAnsi="Arial" w:cs="Arial"/>
              </w:rPr>
            </w:pPr>
            <w:r>
              <w:rPr>
                <w:rFonts w:ascii="Arial" w:hAnsi="Arial" w:cs="Arial"/>
              </w:rPr>
              <w:t>3.</w:t>
            </w:r>
          </w:p>
        </w:tc>
        <w:tc>
          <w:tcPr>
            <w:tcW w:w="2425" w:type="dxa"/>
          </w:tcPr>
          <w:p w:rsidR="00FB7C4A" w:rsidRDefault="00FB7C4A" w:rsidP="00B44867">
            <w:pPr>
              <w:rPr>
                <w:rFonts w:ascii="Arial" w:hAnsi="Arial" w:cs="Arial"/>
              </w:rPr>
            </w:pPr>
          </w:p>
        </w:tc>
        <w:tc>
          <w:tcPr>
            <w:tcW w:w="7545" w:type="dxa"/>
          </w:tcPr>
          <w:p w:rsidR="00FB7C4A" w:rsidRDefault="00FB7C4A" w:rsidP="00B44867">
            <w:pPr>
              <w:rPr>
                <w:rFonts w:ascii="Arial" w:hAnsi="Arial" w:cs="Arial"/>
              </w:rPr>
            </w:pPr>
            <w:r w:rsidRPr="00FB7C4A">
              <w:rPr>
                <w:rFonts w:ascii="Arial" w:hAnsi="Arial" w:cs="Arial"/>
              </w:rPr>
              <w:t>Para 3.6 – similarly, it would be helpful if it was clarified that the Act permits children to access certain premises and to engage in limited gambling activities in some.  The comments in the Draft about restrictions on the presence of children would not apply to such premises.</w:t>
            </w:r>
          </w:p>
        </w:tc>
        <w:tc>
          <w:tcPr>
            <w:tcW w:w="3544" w:type="dxa"/>
          </w:tcPr>
          <w:p w:rsidR="00FB7C4A" w:rsidRDefault="003A3C98" w:rsidP="00B44867">
            <w:pPr>
              <w:rPr>
                <w:rFonts w:ascii="Arial" w:hAnsi="Arial" w:cs="Arial"/>
              </w:rPr>
            </w:pPr>
            <w:r>
              <w:rPr>
                <w:rFonts w:ascii="Arial" w:hAnsi="Arial" w:cs="Arial"/>
              </w:rPr>
              <w:t>This is already set out in section 3.20 of the Policy</w:t>
            </w:r>
          </w:p>
        </w:tc>
      </w:tr>
      <w:tr w:rsidR="00FB7C4A" w:rsidTr="00FB7C4A">
        <w:tc>
          <w:tcPr>
            <w:tcW w:w="660" w:type="dxa"/>
          </w:tcPr>
          <w:p w:rsidR="00FB7C4A" w:rsidRDefault="00CE39A1" w:rsidP="00B44867">
            <w:pPr>
              <w:rPr>
                <w:rFonts w:ascii="Arial" w:hAnsi="Arial" w:cs="Arial"/>
              </w:rPr>
            </w:pPr>
            <w:r>
              <w:rPr>
                <w:rFonts w:ascii="Arial" w:hAnsi="Arial" w:cs="Arial"/>
              </w:rPr>
              <w:t>4.</w:t>
            </w:r>
          </w:p>
        </w:tc>
        <w:tc>
          <w:tcPr>
            <w:tcW w:w="2425" w:type="dxa"/>
          </w:tcPr>
          <w:p w:rsidR="00FB7C4A" w:rsidRDefault="00FB7C4A" w:rsidP="00B44867">
            <w:pPr>
              <w:rPr>
                <w:rFonts w:ascii="Arial" w:hAnsi="Arial" w:cs="Arial"/>
              </w:rPr>
            </w:pPr>
          </w:p>
        </w:tc>
        <w:tc>
          <w:tcPr>
            <w:tcW w:w="7545" w:type="dxa"/>
          </w:tcPr>
          <w:p w:rsidR="00FB7C4A" w:rsidRDefault="00FB7C4A" w:rsidP="00B44867">
            <w:pPr>
              <w:rPr>
                <w:rFonts w:ascii="Arial" w:hAnsi="Arial" w:cs="Arial"/>
              </w:rPr>
            </w:pPr>
            <w:r w:rsidRPr="00FB7C4A">
              <w:rPr>
                <w:rFonts w:ascii="Arial" w:hAnsi="Arial" w:cs="Arial"/>
              </w:rPr>
              <w:t>Para 3.17 – again, children are permitted to take part in some gambling activities and this should be made clear.  In those circumstances, plainly they are permitted to “be in close proximity to” gambling. </w:t>
            </w:r>
          </w:p>
        </w:tc>
        <w:tc>
          <w:tcPr>
            <w:tcW w:w="3544" w:type="dxa"/>
          </w:tcPr>
          <w:p w:rsidR="00FB7C4A" w:rsidRDefault="003A3C98" w:rsidP="00B44867">
            <w:pPr>
              <w:rPr>
                <w:rFonts w:ascii="Arial" w:hAnsi="Arial" w:cs="Arial"/>
              </w:rPr>
            </w:pPr>
            <w:r>
              <w:rPr>
                <w:rFonts w:ascii="Arial" w:hAnsi="Arial" w:cs="Arial"/>
              </w:rPr>
              <w:t>This is already set out in section 3.20 of the Policy</w:t>
            </w:r>
          </w:p>
        </w:tc>
      </w:tr>
      <w:tr w:rsidR="00FB7C4A" w:rsidTr="00FB7C4A">
        <w:tc>
          <w:tcPr>
            <w:tcW w:w="660" w:type="dxa"/>
          </w:tcPr>
          <w:p w:rsidR="00FB7C4A" w:rsidRDefault="00CE39A1" w:rsidP="00B44867">
            <w:pPr>
              <w:rPr>
                <w:rFonts w:ascii="Arial" w:hAnsi="Arial" w:cs="Arial"/>
              </w:rPr>
            </w:pPr>
            <w:r>
              <w:rPr>
                <w:rFonts w:ascii="Arial" w:hAnsi="Arial" w:cs="Arial"/>
              </w:rPr>
              <w:t>5.</w:t>
            </w:r>
          </w:p>
        </w:tc>
        <w:tc>
          <w:tcPr>
            <w:tcW w:w="2425" w:type="dxa"/>
          </w:tcPr>
          <w:p w:rsidR="00FB7C4A" w:rsidRDefault="00FB7C4A" w:rsidP="00B44867">
            <w:pPr>
              <w:rPr>
                <w:rFonts w:ascii="Arial" w:hAnsi="Arial" w:cs="Arial"/>
              </w:rPr>
            </w:pPr>
          </w:p>
        </w:tc>
        <w:tc>
          <w:tcPr>
            <w:tcW w:w="7545" w:type="dxa"/>
          </w:tcPr>
          <w:p w:rsidR="00FB7C4A" w:rsidRDefault="000A611C" w:rsidP="00B44867">
            <w:pPr>
              <w:rPr>
                <w:rFonts w:ascii="Arial" w:hAnsi="Arial" w:cs="Arial"/>
              </w:rPr>
            </w:pPr>
            <w:r w:rsidRPr="00FB7C4A">
              <w:rPr>
                <w:rFonts w:ascii="Arial" w:hAnsi="Arial" w:cs="Arial"/>
              </w:rPr>
              <w:t>Para 5.3 – as the Draft confirms, issues of planning are not relevant to a licensing application (save in limited circumstances relating to the licensing objectives).  It is therefore confusing that the Draft suggests that licensing applicants consider the local planning authority’s approach to granting planning permissions. I suggest that this is removed.</w:t>
            </w:r>
          </w:p>
        </w:tc>
        <w:tc>
          <w:tcPr>
            <w:tcW w:w="3544" w:type="dxa"/>
          </w:tcPr>
          <w:p w:rsidR="00FB7C4A" w:rsidRDefault="003A3C98" w:rsidP="00B44867">
            <w:pPr>
              <w:rPr>
                <w:rFonts w:ascii="Arial" w:hAnsi="Arial" w:cs="Arial"/>
              </w:rPr>
            </w:pPr>
            <w:r>
              <w:rPr>
                <w:rFonts w:ascii="Arial" w:hAnsi="Arial" w:cs="Arial"/>
              </w:rPr>
              <w:t>This is general advice as may still affect the premise dependant on what else is proposed on site</w:t>
            </w:r>
          </w:p>
        </w:tc>
      </w:tr>
      <w:tr w:rsidR="00FB7C4A" w:rsidTr="00FB7C4A">
        <w:tc>
          <w:tcPr>
            <w:tcW w:w="660" w:type="dxa"/>
          </w:tcPr>
          <w:p w:rsidR="00FB7C4A" w:rsidRDefault="00CE39A1" w:rsidP="00B44867">
            <w:pPr>
              <w:rPr>
                <w:rFonts w:ascii="Arial" w:hAnsi="Arial" w:cs="Arial"/>
              </w:rPr>
            </w:pPr>
            <w:r>
              <w:rPr>
                <w:rFonts w:ascii="Arial" w:hAnsi="Arial" w:cs="Arial"/>
              </w:rPr>
              <w:t>6.</w:t>
            </w:r>
          </w:p>
        </w:tc>
        <w:tc>
          <w:tcPr>
            <w:tcW w:w="2425" w:type="dxa"/>
          </w:tcPr>
          <w:p w:rsidR="00FB7C4A" w:rsidRDefault="00FB7C4A" w:rsidP="00B44867">
            <w:pPr>
              <w:rPr>
                <w:rFonts w:ascii="Arial" w:hAnsi="Arial" w:cs="Arial"/>
              </w:rPr>
            </w:pPr>
          </w:p>
        </w:tc>
        <w:tc>
          <w:tcPr>
            <w:tcW w:w="7545" w:type="dxa"/>
          </w:tcPr>
          <w:p w:rsidR="00FB7C4A" w:rsidRDefault="000A611C" w:rsidP="00B44867">
            <w:pPr>
              <w:rPr>
                <w:rFonts w:ascii="Arial" w:hAnsi="Arial" w:cs="Arial"/>
              </w:rPr>
            </w:pPr>
            <w:r w:rsidRPr="00FB7C4A">
              <w:rPr>
                <w:rFonts w:ascii="Arial" w:hAnsi="Arial" w:cs="Arial"/>
              </w:rPr>
              <w:t xml:space="preserve">Para 9.6 – In relation to inspections, I note the proposal that only a quarter of betting premises will be visited each year, whereas each AGC or bingo premises will be visited every 12-18 months.  I appreciate that the proposed inspection rate for betting premises is based on the fact that the majority of premises are operated by the same businesses and that </w:t>
            </w:r>
            <w:r w:rsidRPr="00FB7C4A">
              <w:rPr>
                <w:rFonts w:ascii="Arial" w:hAnsi="Arial" w:cs="Arial"/>
              </w:rPr>
              <w:lastRenderedPageBreak/>
              <w:t xml:space="preserve">standards should be consistent within the business.  However, that is not necessarily the case in practice and, as the Draft notes, each </w:t>
            </w:r>
            <w:proofErr w:type="gramStart"/>
            <w:r w:rsidRPr="00FB7C4A">
              <w:rPr>
                <w:rFonts w:ascii="Arial" w:hAnsi="Arial" w:cs="Arial"/>
              </w:rPr>
              <w:t>premises</w:t>
            </w:r>
            <w:proofErr w:type="gramEnd"/>
            <w:r w:rsidRPr="00FB7C4A">
              <w:rPr>
                <w:rFonts w:ascii="Arial" w:hAnsi="Arial" w:cs="Arial"/>
              </w:rPr>
              <w:t xml:space="preserve"> will differ in terms of location, previous crime and incident reports and each business is staffed by different individuals. On the basis of the above we see no reason for inspections of betting premises to be different from those of other adult gambling sites.</w:t>
            </w:r>
          </w:p>
        </w:tc>
        <w:tc>
          <w:tcPr>
            <w:tcW w:w="3544" w:type="dxa"/>
          </w:tcPr>
          <w:p w:rsidR="00FB7C4A" w:rsidRDefault="003A3C98" w:rsidP="00B44867">
            <w:pPr>
              <w:rPr>
                <w:rFonts w:ascii="Arial" w:hAnsi="Arial" w:cs="Arial"/>
              </w:rPr>
            </w:pPr>
            <w:r>
              <w:rPr>
                <w:rFonts w:ascii="Arial" w:hAnsi="Arial" w:cs="Arial"/>
              </w:rPr>
              <w:lastRenderedPageBreak/>
              <w:t>Noted</w:t>
            </w:r>
          </w:p>
        </w:tc>
      </w:tr>
      <w:tr w:rsidR="00FB7C4A" w:rsidTr="00FB7C4A">
        <w:tc>
          <w:tcPr>
            <w:tcW w:w="660" w:type="dxa"/>
          </w:tcPr>
          <w:p w:rsidR="00FB7C4A" w:rsidRDefault="00CE39A1" w:rsidP="00B44867">
            <w:pPr>
              <w:rPr>
                <w:rFonts w:ascii="Arial" w:hAnsi="Arial" w:cs="Arial"/>
              </w:rPr>
            </w:pPr>
            <w:r>
              <w:rPr>
                <w:rFonts w:ascii="Arial" w:hAnsi="Arial" w:cs="Arial"/>
              </w:rPr>
              <w:lastRenderedPageBreak/>
              <w:t>7.</w:t>
            </w:r>
          </w:p>
        </w:tc>
        <w:tc>
          <w:tcPr>
            <w:tcW w:w="2425" w:type="dxa"/>
          </w:tcPr>
          <w:p w:rsidR="00FB7C4A" w:rsidRDefault="00FB7C4A" w:rsidP="00B44867">
            <w:pPr>
              <w:rPr>
                <w:rFonts w:ascii="Arial" w:hAnsi="Arial" w:cs="Arial"/>
              </w:rPr>
            </w:pPr>
          </w:p>
        </w:tc>
        <w:tc>
          <w:tcPr>
            <w:tcW w:w="7545" w:type="dxa"/>
          </w:tcPr>
          <w:p w:rsidR="00FB7C4A" w:rsidRDefault="000A611C" w:rsidP="00B44867">
            <w:pPr>
              <w:rPr>
                <w:rFonts w:ascii="Arial" w:hAnsi="Arial" w:cs="Arial"/>
              </w:rPr>
            </w:pPr>
            <w:r w:rsidRPr="00FB7C4A">
              <w:rPr>
                <w:rFonts w:ascii="Arial" w:hAnsi="Arial" w:cs="Arial"/>
              </w:rPr>
              <w:t>Para 10.4 – as above, children are permitted to partake in limited types of gambling and this should be made clear.  Further, the Act does not prohibit children being in “close proximity to gambling”.  We appreciate that this concept might have originated with the Gambling Commission, but is not based on the statute.</w:t>
            </w:r>
          </w:p>
        </w:tc>
        <w:tc>
          <w:tcPr>
            <w:tcW w:w="3544" w:type="dxa"/>
          </w:tcPr>
          <w:p w:rsidR="00FB7C4A" w:rsidRDefault="003A3C98" w:rsidP="00B44867">
            <w:pPr>
              <w:rPr>
                <w:rFonts w:ascii="Arial" w:hAnsi="Arial" w:cs="Arial"/>
              </w:rPr>
            </w:pPr>
            <w:r>
              <w:rPr>
                <w:rFonts w:ascii="Arial" w:hAnsi="Arial" w:cs="Arial"/>
              </w:rPr>
              <w:t>This is already set out in section 3.20 of the Policy</w:t>
            </w:r>
          </w:p>
        </w:tc>
      </w:tr>
      <w:tr w:rsidR="00FB7C4A" w:rsidTr="00FB7C4A">
        <w:tc>
          <w:tcPr>
            <w:tcW w:w="660" w:type="dxa"/>
          </w:tcPr>
          <w:p w:rsidR="00FB7C4A" w:rsidRDefault="00CE39A1" w:rsidP="00B44867">
            <w:pPr>
              <w:rPr>
                <w:rFonts w:ascii="Arial" w:hAnsi="Arial" w:cs="Arial"/>
              </w:rPr>
            </w:pPr>
            <w:r>
              <w:rPr>
                <w:rFonts w:ascii="Arial" w:hAnsi="Arial" w:cs="Arial"/>
              </w:rPr>
              <w:t>8.</w:t>
            </w:r>
          </w:p>
        </w:tc>
        <w:tc>
          <w:tcPr>
            <w:tcW w:w="2425" w:type="dxa"/>
          </w:tcPr>
          <w:p w:rsidR="00FB7C4A" w:rsidRDefault="00FB7C4A" w:rsidP="00B44867">
            <w:pPr>
              <w:rPr>
                <w:rFonts w:ascii="Arial" w:hAnsi="Arial" w:cs="Arial"/>
              </w:rPr>
            </w:pPr>
          </w:p>
        </w:tc>
        <w:tc>
          <w:tcPr>
            <w:tcW w:w="7545" w:type="dxa"/>
          </w:tcPr>
          <w:p w:rsidR="00FB7C4A" w:rsidRDefault="000A611C" w:rsidP="000A611C">
            <w:pPr>
              <w:pStyle w:val="ListParagraph"/>
              <w:ind w:left="0"/>
              <w:jc w:val="both"/>
              <w:rPr>
                <w:rFonts w:ascii="Arial" w:hAnsi="Arial" w:cs="Arial"/>
              </w:rPr>
            </w:pPr>
            <w:r w:rsidRPr="00FB7C4A">
              <w:rPr>
                <w:rFonts w:ascii="Arial" w:hAnsi="Arial" w:cs="Arial"/>
              </w:rPr>
              <w:t>Para 10.17 – whilst we acknowledge that the licensing authority will expect applicants to offer suggestions as to the ways in which the licensing objectives can be met effectively, the current Draft might be taken to suggest that applicants should suggest their own conditions.  Licences are already covered by mandatory and default conditions and suggest that the words “if appropriate” be inserted after the words “… expect the licence applicant”.</w:t>
            </w:r>
          </w:p>
        </w:tc>
        <w:tc>
          <w:tcPr>
            <w:tcW w:w="3544" w:type="dxa"/>
          </w:tcPr>
          <w:p w:rsidR="00FB7C4A" w:rsidRDefault="003A3C98" w:rsidP="00B44867">
            <w:pPr>
              <w:rPr>
                <w:rFonts w:ascii="Arial" w:hAnsi="Arial" w:cs="Arial"/>
              </w:rPr>
            </w:pPr>
            <w:r>
              <w:rPr>
                <w:rFonts w:ascii="Arial" w:hAnsi="Arial" w:cs="Arial"/>
              </w:rPr>
              <w:t>Policy Adjusted</w:t>
            </w:r>
          </w:p>
        </w:tc>
      </w:tr>
      <w:tr w:rsidR="00FB7C4A" w:rsidTr="00FB7C4A">
        <w:tc>
          <w:tcPr>
            <w:tcW w:w="660" w:type="dxa"/>
          </w:tcPr>
          <w:p w:rsidR="00FB7C4A" w:rsidRDefault="00CE39A1" w:rsidP="00B44867">
            <w:pPr>
              <w:rPr>
                <w:rFonts w:ascii="Arial" w:hAnsi="Arial" w:cs="Arial"/>
              </w:rPr>
            </w:pPr>
            <w:r>
              <w:rPr>
                <w:rFonts w:ascii="Arial" w:hAnsi="Arial" w:cs="Arial"/>
              </w:rPr>
              <w:t>9.</w:t>
            </w:r>
          </w:p>
        </w:tc>
        <w:tc>
          <w:tcPr>
            <w:tcW w:w="2425" w:type="dxa"/>
          </w:tcPr>
          <w:p w:rsidR="00FB7C4A" w:rsidRDefault="00FB7C4A" w:rsidP="00B44867">
            <w:pPr>
              <w:rPr>
                <w:rFonts w:ascii="Arial" w:hAnsi="Arial" w:cs="Arial"/>
              </w:rPr>
            </w:pPr>
          </w:p>
        </w:tc>
        <w:tc>
          <w:tcPr>
            <w:tcW w:w="7545" w:type="dxa"/>
          </w:tcPr>
          <w:p w:rsidR="00FB7C4A" w:rsidRDefault="000A611C" w:rsidP="000A611C">
            <w:pPr>
              <w:pStyle w:val="ListParagraph"/>
              <w:ind w:left="0"/>
              <w:jc w:val="both"/>
              <w:rPr>
                <w:rFonts w:ascii="Arial" w:hAnsi="Arial" w:cs="Arial"/>
              </w:rPr>
            </w:pPr>
            <w:r w:rsidRPr="00FB7C4A">
              <w:rPr>
                <w:rFonts w:ascii="Arial" w:hAnsi="Arial" w:cs="Arial"/>
              </w:rPr>
              <w:t xml:space="preserve">Para 10.21 – the Draft states that “there is no evidence that the operation of </w:t>
            </w:r>
            <w:r w:rsidRPr="00FB7C4A">
              <w:rPr>
                <w:rFonts w:ascii="Arial" w:hAnsi="Arial" w:cs="Arial"/>
                <w:u w:val="single"/>
              </w:rPr>
              <w:t>betting offices</w:t>
            </w:r>
            <w:r w:rsidRPr="00FB7C4A">
              <w:rPr>
                <w:rFonts w:ascii="Arial" w:hAnsi="Arial" w:cs="Arial"/>
              </w:rPr>
              <w:t xml:space="preserve"> has required door supervisors for the protection of the public” (emphasis added).  Whilst this might be true, it is also the case in relation to AGCs, FECs and bingo premises and we suggest this be clarified.</w:t>
            </w:r>
          </w:p>
        </w:tc>
        <w:tc>
          <w:tcPr>
            <w:tcW w:w="3544" w:type="dxa"/>
          </w:tcPr>
          <w:p w:rsidR="00FB7C4A" w:rsidRDefault="003A3C98" w:rsidP="00B44867">
            <w:pPr>
              <w:rPr>
                <w:rFonts w:ascii="Arial" w:hAnsi="Arial" w:cs="Arial"/>
              </w:rPr>
            </w:pPr>
            <w:r>
              <w:rPr>
                <w:rFonts w:ascii="Arial" w:hAnsi="Arial" w:cs="Arial"/>
              </w:rPr>
              <w:t>Betting offices are subject to the most complaints in the authority and that is why these are specifically mentioned. The other premises present less of a risk and there are no FECs in the Borough</w:t>
            </w:r>
          </w:p>
        </w:tc>
      </w:tr>
      <w:tr w:rsidR="00FB7C4A" w:rsidTr="00FB7C4A">
        <w:tc>
          <w:tcPr>
            <w:tcW w:w="660" w:type="dxa"/>
          </w:tcPr>
          <w:p w:rsidR="00FB7C4A" w:rsidRDefault="00CE39A1" w:rsidP="00B44867">
            <w:pPr>
              <w:rPr>
                <w:rFonts w:ascii="Arial" w:hAnsi="Arial" w:cs="Arial"/>
              </w:rPr>
            </w:pPr>
            <w:r>
              <w:rPr>
                <w:rFonts w:ascii="Arial" w:hAnsi="Arial" w:cs="Arial"/>
              </w:rPr>
              <w:t>10.</w:t>
            </w:r>
          </w:p>
        </w:tc>
        <w:tc>
          <w:tcPr>
            <w:tcW w:w="2425" w:type="dxa"/>
          </w:tcPr>
          <w:p w:rsidR="00FB7C4A" w:rsidRDefault="00FB7C4A" w:rsidP="00B44867">
            <w:pPr>
              <w:rPr>
                <w:rFonts w:ascii="Arial" w:hAnsi="Arial" w:cs="Arial"/>
              </w:rPr>
            </w:pPr>
          </w:p>
        </w:tc>
        <w:tc>
          <w:tcPr>
            <w:tcW w:w="7545" w:type="dxa"/>
          </w:tcPr>
          <w:p w:rsidR="00FB7C4A" w:rsidRDefault="000A611C" w:rsidP="000A611C">
            <w:pPr>
              <w:pStyle w:val="ListParagraph"/>
              <w:ind w:left="0"/>
              <w:jc w:val="both"/>
              <w:rPr>
                <w:rFonts w:ascii="Arial" w:hAnsi="Arial" w:cs="Arial"/>
              </w:rPr>
            </w:pPr>
            <w:r w:rsidRPr="00FB7C4A">
              <w:rPr>
                <w:rFonts w:ascii="Arial" w:hAnsi="Arial" w:cs="Arial"/>
              </w:rPr>
              <w:t>Paras 14 and 15 – whilst 10 sample “appropriate licence conditions” are cited for AGCs at paragraph 11, this has not been repeated for bingo premises nor betting premises.  This is inconsistent and I suggest that the same provisions be included.</w:t>
            </w:r>
          </w:p>
        </w:tc>
        <w:tc>
          <w:tcPr>
            <w:tcW w:w="3544" w:type="dxa"/>
          </w:tcPr>
          <w:p w:rsidR="00FB7C4A" w:rsidRDefault="003A3C98" w:rsidP="00C01202">
            <w:pPr>
              <w:rPr>
                <w:rFonts w:ascii="Arial" w:hAnsi="Arial" w:cs="Arial"/>
              </w:rPr>
            </w:pPr>
            <w:r>
              <w:rPr>
                <w:rFonts w:ascii="Arial" w:hAnsi="Arial" w:cs="Arial"/>
              </w:rPr>
              <w:t>This is based on issues that have previously arise</w:t>
            </w:r>
            <w:r w:rsidR="00C01202">
              <w:rPr>
                <w:rFonts w:ascii="Arial" w:hAnsi="Arial" w:cs="Arial"/>
              </w:rPr>
              <w:t>n</w:t>
            </w:r>
            <w:r>
              <w:rPr>
                <w:rFonts w:ascii="Arial" w:hAnsi="Arial" w:cs="Arial"/>
              </w:rPr>
              <w:t xml:space="preserve"> and if evidence shows the other premises need this approach, then it would be adopted</w:t>
            </w:r>
          </w:p>
        </w:tc>
      </w:tr>
      <w:tr w:rsidR="00FB7C4A" w:rsidTr="00FB7C4A">
        <w:tc>
          <w:tcPr>
            <w:tcW w:w="660" w:type="dxa"/>
          </w:tcPr>
          <w:p w:rsidR="00FB7C4A" w:rsidRDefault="00CE39A1" w:rsidP="00B44867">
            <w:pPr>
              <w:rPr>
                <w:rFonts w:ascii="Arial" w:hAnsi="Arial" w:cs="Arial"/>
              </w:rPr>
            </w:pPr>
            <w:r>
              <w:rPr>
                <w:rFonts w:ascii="Arial" w:hAnsi="Arial" w:cs="Arial"/>
              </w:rPr>
              <w:t>11.</w:t>
            </w:r>
          </w:p>
        </w:tc>
        <w:tc>
          <w:tcPr>
            <w:tcW w:w="2425" w:type="dxa"/>
          </w:tcPr>
          <w:p w:rsidR="00FB7C4A" w:rsidRDefault="00FB7C4A" w:rsidP="00B44867">
            <w:pPr>
              <w:rPr>
                <w:rFonts w:ascii="Arial" w:hAnsi="Arial" w:cs="Arial"/>
              </w:rPr>
            </w:pPr>
          </w:p>
        </w:tc>
        <w:tc>
          <w:tcPr>
            <w:tcW w:w="7545" w:type="dxa"/>
          </w:tcPr>
          <w:p w:rsidR="00FB7C4A" w:rsidRPr="00E90A71" w:rsidRDefault="000A611C" w:rsidP="00B44867">
            <w:pPr>
              <w:rPr>
                <w:rFonts w:ascii="Arial" w:hAnsi="Arial" w:cs="Arial"/>
              </w:rPr>
            </w:pPr>
            <w:r w:rsidRPr="00E90A71">
              <w:rPr>
                <w:rFonts w:ascii="Arial" w:hAnsi="Arial" w:cs="Arial"/>
              </w:rPr>
              <w:t>Just for your if I did reply to this and briefly offer my view that there are too many bookmakers, particularly in the higher crime and ASB wards</w:t>
            </w:r>
            <w:proofErr w:type="gramStart"/>
            <w:r w:rsidRPr="00E90A71">
              <w:rPr>
                <w:rFonts w:ascii="Arial" w:hAnsi="Arial" w:cs="Arial"/>
              </w:rPr>
              <w:t>,  that</w:t>
            </w:r>
            <w:proofErr w:type="gramEnd"/>
            <w:r w:rsidRPr="00E90A71">
              <w:rPr>
                <w:rFonts w:ascii="Arial" w:hAnsi="Arial" w:cs="Arial"/>
              </w:rPr>
              <w:t xml:space="preserve"> FOBTs are driving crime and ASB and those people who are least able to lose high sums of money are disproportionately those who do. </w:t>
            </w:r>
          </w:p>
          <w:p w:rsidR="00E90A71" w:rsidRPr="000A611C" w:rsidRDefault="00E90A71" w:rsidP="00B44867">
            <w:pPr>
              <w:rPr>
                <w:rFonts w:ascii="Arial" w:hAnsi="Arial" w:cs="Arial"/>
                <w:color w:val="1F497D"/>
              </w:rPr>
            </w:pPr>
          </w:p>
        </w:tc>
        <w:tc>
          <w:tcPr>
            <w:tcW w:w="3544" w:type="dxa"/>
          </w:tcPr>
          <w:p w:rsidR="00FB7C4A" w:rsidRDefault="00CE39A1" w:rsidP="00B44867">
            <w:pPr>
              <w:rPr>
                <w:rFonts w:ascii="Arial" w:hAnsi="Arial" w:cs="Arial"/>
              </w:rPr>
            </w:pPr>
            <w:r>
              <w:rPr>
                <w:rFonts w:ascii="Arial" w:hAnsi="Arial" w:cs="Arial"/>
              </w:rPr>
              <w:t>Unfortunately there is no provision under the Act to allow a saturation policy or means to limit such premises</w:t>
            </w:r>
          </w:p>
        </w:tc>
      </w:tr>
      <w:tr w:rsidR="00FB7C4A" w:rsidTr="00FB7C4A">
        <w:tc>
          <w:tcPr>
            <w:tcW w:w="660" w:type="dxa"/>
          </w:tcPr>
          <w:p w:rsidR="00FB7C4A" w:rsidRDefault="00CE39A1" w:rsidP="00B44867">
            <w:pPr>
              <w:rPr>
                <w:rFonts w:ascii="Arial" w:hAnsi="Arial" w:cs="Arial"/>
              </w:rPr>
            </w:pPr>
            <w:r>
              <w:rPr>
                <w:rFonts w:ascii="Arial" w:hAnsi="Arial" w:cs="Arial"/>
              </w:rPr>
              <w:lastRenderedPageBreak/>
              <w:t>12.</w:t>
            </w:r>
          </w:p>
        </w:tc>
        <w:tc>
          <w:tcPr>
            <w:tcW w:w="2425" w:type="dxa"/>
          </w:tcPr>
          <w:p w:rsidR="00FB7C4A" w:rsidRDefault="00FB7C4A" w:rsidP="00B44867">
            <w:pPr>
              <w:rPr>
                <w:rFonts w:ascii="Arial" w:hAnsi="Arial" w:cs="Arial"/>
              </w:rPr>
            </w:pPr>
          </w:p>
        </w:tc>
        <w:tc>
          <w:tcPr>
            <w:tcW w:w="7545" w:type="dxa"/>
          </w:tcPr>
          <w:p w:rsidR="00FB7C4A" w:rsidRDefault="000A611C" w:rsidP="00B44867">
            <w:pPr>
              <w:rPr>
                <w:rFonts w:ascii="Arial" w:hAnsi="Arial" w:cs="Arial"/>
              </w:rPr>
            </w:pPr>
            <w:r w:rsidRPr="00E90A71">
              <w:rPr>
                <w:rFonts w:ascii="Arial" w:hAnsi="Arial" w:cs="Arial"/>
              </w:rPr>
              <w:t>Agreed. I think licensing across the board has a real part to play in protecting the most vulnerable, specifically in preventing the cynical saturation of licensed premises (betting shops and pubs) in the very areas they will cause most trouble for the residents. The companies choose those areas as they make the most money. I think that is where the debate has to begin and the policy be shaped to manage the risks down.</w:t>
            </w:r>
          </w:p>
          <w:p w:rsidR="00E90A71" w:rsidRPr="000A611C" w:rsidRDefault="00E90A71" w:rsidP="00B44867">
            <w:pPr>
              <w:rPr>
                <w:rFonts w:ascii="Arial" w:hAnsi="Arial" w:cs="Arial"/>
                <w:color w:val="1F497D"/>
              </w:rPr>
            </w:pPr>
            <w:bookmarkStart w:id="0" w:name="_GoBack"/>
            <w:bookmarkEnd w:id="0"/>
          </w:p>
        </w:tc>
        <w:tc>
          <w:tcPr>
            <w:tcW w:w="3544" w:type="dxa"/>
          </w:tcPr>
          <w:p w:rsidR="00FB7C4A" w:rsidRDefault="00CE39A1" w:rsidP="00B44867">
            <w:pPr>
              <w:rPr>
                <w:rFonts w:ascii="Arial" w:hAnsi="Arial" w:cs="Arial"/>
              </w:rPr>
            </w:pPr>
            <w:r>
              <w:rPr>
                <w:rFonts w:ascii="Arial" w:hAnsi="Arial" w:cs="Arial"/>
              </w:rPr>
              <w:t>As above and also more of a national debate</w:t>
            </w:r>
          </w:p>
        </w:tc>
      </w:tr>
    </w:tbl>
    <w:p w:rsidR="00FB7C4A" w:rsidRPr="00FB7C4A" w:rsidRDefault="00FB7C4A" w:rsidP="00B44867">
      <w:pPr>
        <w:rPr>
          <w:rFonts w:ascii="Arial" w:hAnsi="Arial" w:cs="Arial"/>
        </w:rPr>
      </w:pPr>
    </w:p>
    <w:sectPr w:rsidR="00FB7C4A" w:rsidRPr="00FB7C4A" w:rsidSect="00FB7C4A">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867"/>
    <w:rsid w:val="000A611C"/>
    <w:rsid w:val="000C7372"/>
    <w:rsid w:val="003A3C98"/>
    <w:rsid w:val="00414FED"/>
    <w:rsid w:val="00511231"/>
    <w:rsid w:val="00511C1D"/>
    <w:rsid w:val="005364DF"/>
    <w:rsid w:val="007B7BAC"/>
    <w:rsid w:val="00B44867"/>
    <w:rsid w:val="00C01202"/>
    <w:rsid w:val="00CE39A1"/>
    <w:rsid w:val="00D0655C"/>
    <w:rsid w:val="00E90A71"/>
    <w:rsid w:val="00FB7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867"/>
    <w:rPr>
      <w:rFonts w:eastAsiaTheme="minorHAns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4867"/>
    <w:rPr>
      <w:color w:val="0563C1"/>
      <w:u w:val="single"/>
    </w:rPr>
  </w:style>
  <w:style w:type="paragraph" w:styleId="ListParagraph">
    <w:name w:val="List Paragraph"/>
    <w:basedOn w:val="Normal"/>
    <w:uiPriority w:val="34"/>
    <w:qFormat/>
    <w:rsid w:val="00B44867"/>
    <w:pPr>
      <w:ind w:left="720"/>
    </w:pPr>
  </w:style>
  <w:style w:type="table" w:styleId="TableGrid">
    <w:name w:val="Table Grid"/>
    <w:basedOn w:val="TableNormal"/>
    <w:uiPriority w:val="59"/>
    <w:rsid w:val="00511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11231"/>
    <w:pPr>
      <w:widowControl w:val="0"/>
      <w:autoSpaceDE w:val="0"/>
      <w:autoSpaceDN w:val="0"/>
    </w:pPr>
    <w:rPr>
      <w:rFonts w:ascii="Arial" w:eastAsia="Arial" w:hAnsi="Arial" w:cs="Arial"/>
      <w:lang w:val="en-US" w:eastAsia="en-US"/>
    </w:rPr>
  </w:style>
  <w:style w:type="character" w:customStyle="1" w:styleId="BodyTextChar">
    <w:name w:val="Body Text Char"/>
    <w:basedOn w:val="DefaultParagraphFont"/>
    <w:link w:val="BodyText"/>
    <w:uiPriority w:val="1"/>
    <w:rsid w:val="00511231"/>
    <w:rPr>
      <w:rFonts w:ascii="Arial" w:eastAsia="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867"/>
    <w:rPr>
      <w:rFonts w:eastAsiaTheme="minorHAns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4867"/>
    <w:rPr>
      <w:color w:val="0563C1"/>
      <w:u w:val="single"/>
    </w:rPr>
  </w:style>
  <w:style w:type="paragraph" w:styleId="ListParagraph">
    <w:name w:val="List Paragraph"/>
    <w:basedOn w:val="Normal"/>
    <w:uiPriority w:val="34"/>
    <w:qFormat/>
    <w:rsid w:val="00B44867"/>
    <w:pPr>
      <w:ind w:left="720"/>
    </w:pPr>
  </w:style>
  <w:style w:type="table" w:styleId="TableGrid">
    <w:name w:val="Table Grid"/>
    <w:basedOn w:val="TableNormal"/>
    <w:uiPriority w:val="59"/>
    <w:rsid w:val="00511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11231"/>
    <w:pPr>
      <w:widowControl w:val="0"/>
      <w:autoSpaceDE w:val="0"/>
      <w:autoSpaceDN w:val="0"/>
    </w:pPr>
    <w:rPr>
      <w:rFonts w:ascii="Arial" w:eastAsia="Arial" w:hAnsi="Arial" w:cs="Arial"/>
      <w:lang w:val="en-US" w:eastAsia="en-US"/>
    </w:rPr>
  </w:style>
  <w:style w:type="character" w:customStyle="1" w:styleId="BodyTextChar">
    <w:name w:val="Body Text Char"/>
    <w:basedOn w:val="DefaultParagraphFont"/>
    <w:link w:val="BodyText"/>
    <w:uiPriority w:val="1"/>
    <w:rsid w:val="00511231"/>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055783">
      <w:bodyDiv w:val="1"/>
      <w:marLeft w:val="0"/>
      <w:marRight w:val="0"/>
      <w:marTop w:val="0"/>
      <w:marBottom w:val="0"/>
      <w:divBdr>
        <w:top w:val="none" w:sz="0" w:space="0" w:color="auto"/>
        <w:left w:val="none" w:sz="0" w:space="0" w:color="auto"/>
        <w:bottom w:val="none" w:sz="0" w:space="0" w:color="auto"/>
        <w:right w:val="none" w:sz="0" w:space="0" w:color="auto"/>
      </w:divBdr>
    </w:div>
    <w:div w:id="1288661352">
      <w:bodyDiv w:val="1"/>
      <w:marLeft w:val="0"/>
      <w:marRight w:val="0"/>
      <w:marTop w:val="0"/>
      <w:marBottom w:val="0"/>
      <w:divBdr>
        <w:top w:val="none" w:sz="0" w:space="0" w:color="auto"/>
        <w:left w:val="none" w:sz="0" w:space="0" w:color="auto"/>
        <w:bottom w:val="none" w:sz="0" w:space="0" w:color="auto"/>
        <w:right w:val="none" w:sz="0" w:space="0" w:color="auto"/>
      </w:divBdr>
    </w:div>
    <w:div w:id="17639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2742</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18342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Lebrun</dc:creator>
  <cp:lastModifiedBy>Frankie Belloli</cp:lastModifiedBy>
  <cp:revision>5</cp:revision>
  <cp:lastPrinted>2018-10-02T11:02:00Z</cp:lastPrinted>
  <dcterms:created xsi:type="dcterms:W3CDTF">2018-10-02T11:00:00Z</dcterms:created>
  <dcterms:modified xsi:type="dcterms:W3CDTF">2018-11-06T11:05:00Z</dcterms:modified>
</cp:coreProperties>
</file>